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0" w:line="276" w:lineRule="auto"/>
        <w:jc w:val="center"/>
      </w:pPr>
      <w:r>
        <w:rPr>
          <w:rFonts w:ascii="Calibri" w:hAnsi="Calibri" w:eastAsia="Calibri"/>
          <w:b w:val="0"/>
          <w:i w:val="0"/>
          <w:color w:val="8B5E3C"/>
          <w:sz w:val="20"/>
        </w:rPr>
        <w:t>CONFIDENTIAL — for the appointed broker only</w:t>
      </w:r>
    </w:p>
    <w:p>
      <w:pPr>
        <w:spacing w:after="40" w:before="0" w:line="276" w:lineRule="auto"/>
        <w:jc w:val="center"/>
      </w:pPr>
      <w:r>
        <w:rPr>
          <w:rFonts w:ascii="Calibri" w:hAnsi="Calibri" w:eastAsia="Calibri"/>
          <w:b/>
          <w:i w:val="0"/>
          <w:color w:val="3D4A42"/>
          <w:sz w:val="44"/>
        </w:rPr>
        <w:t>Broker brief</w:t>
      </w:r>
    </w:p>
    <w:p>
      <w:pPr>
        <w:spacing w:after="240" w:before="0" w:line="276" w:lineRule="auto"/>
        <w:jc w:val="center"/>
      </w:pPr>
      <w:r>
        <w:rPr>
          <w:rFonts w:ascii="Calibri" w:hAnsi="Calibri" w:eastAsia="Calibri"/>
          <w:b w:val="0"/>
          <w:i w:val="0"/>
          <w:color w:val="57534E"/>
          <w:sz w:val="22"/>
        </w:rPr>
        <w:t>Elements Property Styling ACT  ·  September 2026</w:t>
      </w:r>
    </w:p>
    <w:p>
      <w:pPr>
        <w:spacing w:after="160" w:before="0" w:line="276" w:lineRule="auto"/>
        <w:jc w:val="both"/>
      </w:pPr>
      <w:r>
        <w:rPr>
          <w:rFonts w:ascii="Calibri" w:hAnsi="Calibri" w:eastAsia="Calibri"/>
          <w:b w:val="0"/>
          <w:i w:val="0"/>
          <w:color w:val="2C2A28"/>
          <w:sz w:val="22"/>
        </w:rPr>
        <w:t>This note is for the person who will sell the business. It is not the buyer pack. The buyer pack is the information memorandum. Please do not copy the brochure language from the owners’ original v17 into listings. Some of it over-claims relative to the Friday conversation with the working owner, Tricia Scollen-Smith, and relative to the FY2025 numbers in their own pack.</w:t>
      </w:r>
    </w:p>
    <w:p>
      <w:pPr>
        <w:spacing w:after="160" w:before="320" w:line="276" w:lineRule="auto"/>
        <w:jc w:val="left"/>
      </w:pPr>
      <w:r>
        <w:rPr>
          <w:rFonts w:ascii="Calibri" w:hAnsi="Calibri" w:eastAsia="Calibri"/>
          <w:b/>
          <w:i w:val="0"/>
          <w:color w:val="3D4A42"/>
          <w:sz w:val="36"/>
        </w:rPr>
        <w:t>The file in one page</w:t>
      </w:r>
    </w:p>
    <w:tbl>
      <w:tblPr>
        <w:tblW w:type="auto" w:w="0"/>
        <w:jc w:val="center"/>
        <w:tblLayout w:type="fixed"/>
        <w:tblLook w:firstColumn="1" w:firstRow="1" w:lastColumn="0" w:lastRow="0" w:noHBand="0" w:noVBand="1" w:val="04A0"/>
      </w:tblPr>
      <w:tblGrid>
        <w:gridCol w:w="4933"/>
        <w:gridCol w:w="4933"/>
      </w:tblGrid>
      <w:tr>
        <w:tc>
          <w:tcPr>
            <w:tcW w:type="dxa" w:w="3118"/>
            <w:tcBorders>
              <w:top w:val="single" w:sz="4" w:color="3D4A42"/>
              <w:bottom w:val="single" w:sz="4" w:color="3D4A42"/>
            </w:tcBorders>
            <w:shd w:fill="3D4A42" w:val="clear"/>
          </w:tcPr>
          <w:p>
            <w:r>
              <w:rPr>
                <w:rFonts w:ascii="Calibri" w:hAnsi="Calibri" w:eastAsia="Calibri"/>
                <w:b/>
                <w:i w:val="0"/>
                <w:color w:val="FFFFFF"/>
                <w:sz w:val="18"/>
              </w:rPr>
              <w:t>Item</w:t>
            </w:r>
          </w:p>
        </w:tc>
        <w:tc>
          <w:tcPr>
            <w:tcW w:type="dxa" w:w="6746"/>
            <w:tcBorders>
              <w:top w:val="single" w:sz="4" w:color="3D4A42"/>
              <w:bottom w:val="single" w:sz="4" w:color="3D4A42"/>
            </w:tcBorders>
            <w:shd w:fill="3D4A42" w:val="clear"/>
          </w:tcPr>
          <w:p>
            <w:r>
              <w:rPr>
                <w:rFonts w:ascii="Calibri" w:hAnsi="Calibri" w:eastAsia="Calibri"/>
                <w:b/>
                <w:i w:val="0"/>
                <w:color w:val="FFFFFF"/>
                <w:sz w:val="18"/>
              </w:rPr>
              <w:t>Fact</w:t>
            </w:r>
          </w:p>
        </w:tc>
      </w:tr>
      <w:tr>
        <w:tc>
          <w:tcPr>
            <w:tcW w:type="dxa" w:w="3118"/>
            <w:tcBorders>
              <w:top w:val="single" w:sz="4" w:color="C4B8A5"/>
              <w:bottom w:val="single" w:sz="4" w:color="C4B8A5"/>
            </w:tcBorders>
            <w:shd w:fill="FFFFFF" w:val="clear"/>
          </w:tcPr>
          <w:p>
            <w:r>
              <w:rPr>
                <w:rFonts w:ascii="Calibri" w:hAnsi="Calibri" w:eastAsia="Calibri"/>
                <w:b w:val="0"/>
                <w:i w:val="0"/>
                <w:color w:val="2C2A28"/>
                <w:sz w:val="20"/>
              </w:rPr>
              <w:t>Trading name</w:t>
            </w:r>
          </w:p>
        </w:tc>
        <w:tc>
          <w:tcPr>
            <w:tcW w:type="dxa" w:w="6746"/>
            <w:tcBorders>
              <w:top w:val="single" w:sz="4" w:color="C4B8A5"/>
              <w:bottom w:val="single" w:sz="4" w:color="C4B8A5"/>
            </w:tcBorders>
            <w:shd w:fill="FFFFFF" w:val="clear"/>
          </w:tcPr>
          <w:p>
            <w:r>
              <w:rPr>
                <w:rFonts w:ascii="Calibri" w:hAnsi="Calibri" w:eastAsia="Calibri"/>
                <w:b w:val="0"/>
                <w:i w:val="0"/>
                <w:color w:val="2C2A28"/>
                <w:sz w:val="20"/>
              </w:rPr>
              <w:t>Elements Property Styling / Elements Property Styling ACT</w:t>
            </w:r>
          </w:p>
        </w:tc>
      </w:tr>
      <w:tr>
        <w:tc>
          <w:tcPr>
            <w:tcW w:type="dxa" w:w="3118"/>
            <w:tcBorders>
              <w:top w:val="single" w:sz="4" w:color="C4B8A5"/>
              <w:bottom w:val="single" w:sz="4" w:color="C4B8A5"/>
            </w:tcBorders>
            <w:shd w:fill="F3EEE6" w:val="clear"/>
          </w:tcPr>
          <w:p>
            <w:r>
              <w:rPr>
                <w:rFonts w:ascii="Calibri" w:hAnsi="Calibri" w:eastAsia="Calibri"/>
                <w:b w:val="0"/>
                <w:i w:val="0"/>
                <w:color w:val="2C2A28"/>
                <w:sz w:val="20"/>
              </w:rPr>
              <w:t>Owner</w:t>
            </w:r>
          </w:p>
        </w:tc>
        <w:tc>
          <w:tcPr>
            <w:tcW w:type="dxa" w:w="6746"/>
            <w:tcBorders>
              <w:top w:val="single" w:sz="4" w:color="C4B8A5"/>
              <w:bottom w:val="single" w:sz="4" w:color="C4B8A5"/>
            </w:tcBorders>
            <w:shd w:fill="F3EEE6" w:val="clear"/>
          </w:tcPr>
          <w:p>
            <w:r>
              <w:rPr>
                <w:rFonts w:ascii="Calibri" w:hAnsi="Calibri" w:eastAsia="Calibri"/>
                <w:b w:val="0"/>
                <w:i w:val="0"/>
                <w:color w:val="2C2A28"/>
                <w:sz w:val="20"/>
              </w:rPr>
              <w:t>Tricia Scollen-Smith (operations).</w:t>
            </w:r>
          </w:p>
        </w:tc>
      </w:tr>
      <w:tr>
        <w:tc>
          <w:tcPr>
            <w:tcW w:type="dxa" w:w="3118"/>
            <w:tcBorders>
              <w:top w:val="single" w:sz="4" w:color="C4B8A5"/>
              <w:bottom w:val="single" w:sz="4" w:color="C4B8A5"/>
            </w:tcBorders>
            <w:shd w:fill="FFFFFF" w:val="clear"/>
          </w:tcPr>
          <w:p>
            <w:r>
              <w:rPr>
                <w:rFonts w:ascii="Calibri" w:hAnsi="Calibri" w:eastAsia="Calibri"/>
                <w:b w:val="0"/>
                <w:i w:val="0"/>
                <w:color w:val="2C2A28"/>
                <w:sz w:val="20"/>
              </w:rPr>
              <w:t>History</w:t>
            </w:r>
          </w:p>
        </w:tc>
        <w:tc>
          <w:tcPr>
            <w:tcW w:type="dxa" w:w="6746"/>
            <w:tcBorders>
              <w:top w:val="single" w:sz="4" w:color="C4B8A5"/>
              <w:bottom w:val="single" w:sz="4" w:color="C4B8A5"/>
            </w:tcBorders>
            <w:shd w:fill="FFFFFF" w:val="clear"/>
          </w:tcPr>
          <w:p>
            <w:r>
              <w:rPr>
                <w:rFonts w:ascii="Calibri" w:hAnsi="Calibri" w:eastAsia="Calibri"/>
                <w:b w:val="0"/>
                <w:i w:val="0"/>
                <w:color w:val="2C2A28"/>
                <w:sz w:val="20"/>
              </w:rPr>
              <w:t>Started 2016 by Linda Cheng. Tricia worked there three years, then bought it; she has run it about five years.</w:t>
            </w:r>
          </w:p>
        </w:tc>
      </w:tr>
      <w:tr>
        <w:tc>
          <w:tcPr>
            <w:tcW w:type="dxa" w:w="3118"/>
            <w:tcBorders>
              <w:top w:val="single" w:sz="4" w:color="C4B8A5"/>
              <w:bottom w:val="single" w:sz="4" w:color="C4B8A5"/>
            </w:tcBorders>
            <w:shd w:fill="F3EEE6" w:val="clear"/>
          </w:tcPr>
          <w:p>
            <w:r>
              <w:rPr>
                <w:rFonts w:ascii="Calibri" w:hAnsi="Calibri" w:eastAsia="Calibri"/>
                <w:b w:val="0"/>
                <w:i w:val="0"/>
                <w:color w:val="2C2A28"/>
                <w:sz w:val="20"/>
              </w:rPr>
              <w:t>Reason</w:t>
            </w:r>
          </w:p>
        </w:tc>
        <w:tc>
          <w:tcPr>
            <w:tcW w:type="dxa" w:w="6746"/>
            <w:tcBorders>
              <w:top w:val="single" w:sz="4" w:color="C4B8A5"/>
              <w:bottom w:val="single" w:sz="4" w:color="C4B8A5"/>
            </w:tcBorders>
            <w:shd w:fill="F3EEE6" w:val="clear"/>
          </w:tcPr>
          <w:p>
            <w:r>
              <w:rPr>
                <w:rFonts w:ascii="Calibri" w:hAnsi="Calibri" w:eastAsia="Calibri"/>
                <w:b w:val="0"/>
                <w:i w:val="0"/>
                <w:color w:val="2C2A28"/>
                <w:sz w:val="20"/>
              </w:rPr>
              <w:t>Retirement. Fifth grandchild due end of October (daughter in Brisbane). Wants it sold as soon as a proper process allows. Still taking work.</w:t>
            </w:r>
          </w:p>
        </w:tc>
      </w:tr>
      <w:tr>
        <w:tc>
          <w:tcPr>
            <w:tcW w:type="dxa" w:w="3118"/>
            <w:tcBorders>
              <w:top w:val="single" w:sz="4" w:color="C4B8A5"/>
              <w:bottom w:val="single" w:sz="4" w:color="C4B8A5"/>
            </w:tcBorders>
            <w:shd w:fill="FFFFFF" w:val="clear"/>
          </w:tcPr>
          <w:p>
            <w:r>
              <w:rPr>
                <w:rFonts w:ascii="Calibri" w:hAnsi="Calibri" w:eastAsia="Calibri"/>
                <w:b w:val="0"/>
                <w:i w:val="0"/>
                <w:color w:val="2C2A28"/>
                <w:sz w:val="20"/>
              </w:rPr>
              <w:t>Ask</w:t>
            </w:r>
          </w:p>
        </w:tc>
        <w:tc>
          <w:tcPr>
            <w:tcW w:type="dxa" w:w="6746"/>
            <w:tcBorders>
              <w:top w:val="single" w:sz="4" w:color="C4B8A5"/>
              <w:bottom w:val="single" w:sz="4" w:color="C4B8A5"/>
            </w:tcBorders>
            <w:shd w:fill="FFFFFF" w:val="clear"/>
          </w:tcPr>
          <w:p>
            <w:r>
              <w:rPr>
                <w:rFonts w:ascii="Calibri" w:hAnsi="Calibri" w:eastAsia="Calibri"/>
                <w:b w:val="0"/>
                <w:i w:val="0"/>
                <w:color w:val="2C2A28"/>
                <w:sz w:val="20"/>
              </w:rPr>
              <w:t>$500,000</w:t>
            </w:r>
          </w:p>
        </w:tc>
      </w:tr>
      <w:tr>
        <w:tc>
          <w:tcPr>
            <w:tcW w:type="dxa" w:w="3118"/>
            <w:tcBorders>
              <w:top w:val="single" w:sz="4" w:color="C4B8A5"/>
              <w:bottom w:val="single" w:sz="4" w:color="C4B8A5"/>
            </w:tcBorders>
            <w:shd w:fill="F3EEE6" w:val="clear"/>
          </w:tcPr>
          <w:p>
            <w:r>
              <w:rPr>
                <w:rFonts w:ascii="Calibri" w:hAnsi="Calibri" w:eastAsia="Calibri"/>
                <w:b w:val="0"/>
                <w:i w:val="0"/>
                <w:color w:val="2C2A28"/>
                <w:sz w:val="20"/>
              </w:rPr>
              <w:t>FY2023 income</w:t>
            </w:r>
          </w:p>
        </w:tc>
        <w:tc>
          <w:tcPr>
            <w:tcW w:type="dxa" w:w="6746"/>
            <w:tcBorders>
              <w:top w:val="single" w:sz="4" w:color="C4B8A5"/>
              <w:bottom w:val="single" w:sz="4" w:color="C4B8A5"/>
            </w:tcBorders>
            <w:shd w:fill="F3EEE6" w:val="clear"/>
          </w:tcPr>
          <w:p>
            <w:r>
              <w:rPr>
                <w:rFonts w:ascii="Calibri" w:hAnsi="Calibri" w:eastAsia="Calibri"/>
                <w:b w:val="0"/>
                <w:i w:val="0"/>
                <w:color w:val="2C2A28"/>
                <w:sz w:val="20"/>
              </w:rPr>
              <w:t>$423,175</w:t>
            </w:r>
          </w:p>
        </w:tc>
      </w:tr>
      <w:tr>
        <w:tc>
          <w:tcPr>
            <w:tcW w:type="dxa" w:w="3118"/>
            <w:tcBorders>
              <w:top w:val="single" w:sz="4" w:color="C4B8A5"/>
              <w:bottom w:val="single" w:sz="4" w:color="C4B8A5"/>
            </w:tcBorders>
            <w:shd w:fill="FFFFFF" w:val="clear"/>
          </w:tcPr>
          <w:p>
            <w:r>
              <w:rPr>
                <w:rFonts w:ascii="Calibri" w:hAnsi="Calibri" w:eastAsia="Calibri"/>
                <w:b w:val="0"/>
                <w:i w:val="0"/>
                <w:color w:val="2C2A28"/>
                <w:sz w:val="20"/>
              </w:rPr>
              <w:t>FY2024 income</w:t>
            </w:r>
          </w:p>
        </w:tc>
        <w:tc>
          <w:tcPr>
            <w:tcW w:type="dxa" w:w="6746"/>
            <w:tcBorders>
              <w:top w:val="single" w:sz="4" w:color="C4B8A5"/>
              <w:bottom w:val="single" w:sz="4" w:color="C4B8A5"/>
            </w:tcBorders>
            <w:shd w:fill="FFFFFF" w:val="clear"/>
          </w:tcPr>
          <w:p>
            <w:r>
              <w:rPr>
                <w:rFonts w:ascii="Calibri" w:hAnsi="Calibri" w:eastAsia="Calibri"/>
                <w:b w:val="0"/>
                <w:i w:val="0"/>
                <w:color w:val="2C2A28"/>
                <w:sz w:val="20"/>
              </w:rPr>
              <w:t>$494,880</w:t>
            </w:r>
          </w:p>
        </w:tc>
      </w:tr>
      <w:tr>
        <w:tc>
          <w:tcPr>
            <w:tcW w:type="dxa" w:w="3118"/>
            <w:tcBorders>
              <w:top w:val="single" w:sz="4" w:color="C4B8A5"/>
              <w:bottom w:val="single" w:sz="4" w:color="C4B8A5"/>
            </w:tcBorders>
            <w:shd w:fill="F3EEE6" w:val="clear"/>
          </w:tcPr>
          <w:p>
            <w:r>
              <w:rPr>
                <w:rFonts w:ascii="Calibri" w:hAnsi="Calibri" w:eastAsia="Calibri"/>
                <w:b w:val="0"/>
                <w:i w:val="0"/>
                <w:color w:val="2C2A28"/>
                <w:sz w:val="20"/>
              </w:rPr>
              <w:t>FY2025 income</w:t>
            </w:r>
          </w:p>
        </w:tc>
        <w:tc>
          <w:tcPr>
            <w:tcW w:type="dxa" w:w="6746"/>
            <w:tcBorders>
              <w:top w:val="single" w:sz="4" w:color="C4B8A5"/>
              <w:bottom w:val="single" w:sz="4" w:color="C4B8A5"/>
            </w:tcBorders>
            <w:shd w:fill="F3EEE6" w:val="clear"/>
          </w:tcPr>
          <w:p>
            <w:r>
              <w:rPr>
                <w:rFonts w:ascii="Calibri" w:hAnsi="Calibri" w:eastAsia="Calibri"/>
                <w:b w:val="0"/>
                <w:i w:val="0"/>
                <w:color w:val="2C2A28"/>
                <w:sz w:val="20"/>
              </w:rPr>
              <w:t>$349,411  ·  reported loss $126,029  ·  normalised EBITDA ~$26,209</w:t>
            </w:r>
          </w:p>
        </w:tc>
      </w:tr>
      <w:tr>
        <w:tc>
          <w:tcPr>
            <w:tcW w:type="dxa" w:w="3118"/>
            <w:tcBorders>
              <w:top w:val="single" w:sz="4" w:color="C4B8A5"/>
              <w:bottom w:val="single" w:sz="4" w:color="C4B8A5"/>
            </w:tcBorders>
            <w:shd w:fill="FFFFFF" w:val="clear"/>
          </w:tcPr>
          <w:p>
            <w:r>
              <w:rPr>
                <w:rFonts w:ascii="Calibri" w:hAnsi="Calibri" w:eastAsia="Calibri"/>
                <w:b w:val="0"/>
                <w:i w:val="0"/>
                <w:color w:val="2C2A28"/>
                <w:sz w:val="20"/>
              </w:rPr>
              <w:t>Plant &amp; equipment (cost)</w:t>
            </w:r>
          </w:p>
        </w:tc>
        <w:tc>
          <w:tcPr>
            <w:tcW w:type="dxa" w:w="6746"/>
            <w:tcBorders>
              <w:top w:val="single" w:sz="4" w:color="C4B8A5"/>
              <w:bottom w:val="single" w:sz="4" w:color="C4B8A5"/>
            </w:tcBorders>
            <w:shd w:fill="FFFFFF" w:val="clear"/>
          </w:tcPr>
          <w:p>
            <w:r>
              <w:rPr>
                <w:rFonts w:ascii="Calibri" w:hAnsi="Calibri" w:eastAsia="Calibri"/>
                <w:b w:val="0"/>
                <w:i w:val="0"/>
                <w:color w:val="2C2A28"/>
                <w:sz w:val="20"/>
              </w:rPr>
              <w:t>$344,839 (FY23) → $414,165 (FY24) → $416,495 (FY25)</w:t>
            </w:r>
          </w:p>
        </w:tc>
      </w:tr>
      <w:tr>
        <w:tc>
          <w:tcPr>
            <w:tcW w:type="dxa" w:w="3118"/>
            <w:tcBorders>
              <w:top w:val="single" w:sz="4" w:color="C4B8A5"/>
              <w:bottom w:val="single" w:sz="4" w:color="C4B8A5"/>
            </w:tcBorders>
            <w:shd w:fill="F3EEE6" w:val="clear"/>
          </w:tcPr>
          <w:p>
            <w:r>
              <w:rPr>
                <w:rFonts w:ascii="Calibri" w:hAnsi="Calibri" w:eastAsia="Calibri"/>
                <w:b w:val="0"/>
                <w:i w:val="0"/>
                <w:color w:val="2C2A28"/>
                <w:sz w:val="20"/>
              </w:rPr>
              <w:t>Warehouse</w:t>
            </w:r>
          </w:p>
        </w:tc>
        <w:tc>
          <w:tcPr>
            <w:tcW w:type="dxa" w:w="6746"/>
            <w:tcBorders>
              <w:top w:val="single" w:sz="4" w:color="C4B8A5"/>
              <w:bottom w:val="single" w:sz="4" w:color="C4B8A5"/>
            </w:tcBorders>
            <w:shd w:fill="F3EEE6" w:val="clear"/>
          </w:tcPr>
          <w:p>
            <w:r>
              <w:rPr>
                <w:rFonts w:ascii="Calibri" w:hAnsi="Calibri" w:eastAsia="Calibri"/>
                <w:b w:val="0"/>
                <w:i w:val="0"/>
                <w:color w:val="2C2A28"/>
                <w:sz w:val="20"/>
              </w:rPr>
              <w:t>444 m², Queanbeyan, rented</w:t>
            </w:r>
          </w:p>
        </w:tc>
      </w:tr>
      <w:tr>
        <w:tc>
          <w:tcPr>
            <w:tcW w:type="dxa" w:w="3118"/>
            <w:tcBorders>
              <w:top w:val="single" w:sz="4" w:color="C4B8A5"/>
              <w:bottom w:val="single" w:sz="4" w:color="C4B8A5"/>
            </w:tcBorders>
            <w:shd w:fill="FFFFFF" w:val="clear"/>
          </w:tcPr>
          <w:p>
            <w:r>
              <w:rPr>
                <w:rFonts w:ascii="Calibri" w:hAnsi="Calibri" w:eastAsia="Calibri"/>
                <w:b w:val="0"/>
                <w:i w:val="0"/>
                <w:color w:val="2C2A28"/>
                <w:sz w:val="20"/>
              </w:rPr>
              <w:t>Vehicles</w:t>
            </w:r>
          </w:p>
        </w:tc>
        <w:tc>
          <w:tcPr>
            <w:tcW w:type="dxa" w:w="6746"/>
            <w:tcBorders>
              <w:top w:val="single" w:sz="4" w:color="C4B8A5"/>
              <w:bottom w:val="single" w:sz="4" w:color="C4B8A5"/>
            </w:tcBorders>
            <w:shd w:fill="FFFFFF" w:val="clear"/>
          </w:tcPr>
          <w:p>
            <w:r>
              <w:rPr>
                <w:rFonts w:ascii="Calibri" w:hAnsi="Calibri" w:eastAsia="Calibri"/>
                <w:b w:val="0"/>
                <w:i w:val="0"/>
                <w:color w:val="2C2A28"/>
                <w:sz w:val="20"/>
              </w:rPr>
              <w:t>Hino furniture truck plus two other vehicles, owned</w:t>
            </w:r>
          </w:p>
        </w:tc>
      </w:tr>
      <w:tr>
        <w:tc>
          <w:tcPr>
            <w:tcW w:type="dxa" w:w="3118"/>
            <w:tcBorders>
              <w:top w:val="single" w:sz="4" w:color="C4B8A5"/>
              <w:bottom w:val="single" w:sz="4" w:color="C4B8A5"/>
            </w:tcBorders>
            <w:shd w:fill="F3EEE6" w:val="clear"/>
          </w:tcPr>
          <w:p>
            <w:r>
              <w:rPr>
                <w:rFonts w:ascii="Calibri" w:hAnsi="Calibri" w:eastAsia="Calibri"/>
                <w:b w:val="0"/>
                <w:i w:val="0"/>
                <w:color w:val="2C2A28"/>
                <w:sz w:val="20"/>
              </w:rPr>
              <w:t>Capacity</w:t>
            </w:r>
          </w:p>
        </w:tc>
        <w:tc>
          <w:tcPr>
            <w:tcW w:type="dxa" w:w="6746"/>
            <w:tcBorders>
              <w:top w:val="single" w:sz="4" w:color="C4B8A5"/>
              <w:bottom w:val="single" w:sz="4" w:color="C4B8A5"/>
            </w:tcBorders>
            <w:shd w:fill="F3EEE6" w:val="clear"/>
          </w:tcPr>
          <w:p>
            <w:r>
              <w:rPr>
                <w:rFonts w:ascii="Calibri" w:hAnsi="Calibri" w:eastAsia="Calibri"/>
                <w:b w:val="0"/>
                <w:i w:val="0"/>
                <w:color w:val="2C2A28"/>
                <w:sz w:val="20"/>
              </w:rPr>
              <w:t>Owners’ pack: ~37 concurrent. Call: 19 out now, ~30 realistic with a mix of older and newer homes.</w:t>
            </w:r>
          </w:p>
        </w:tc>
      </w:tr>
      <w:tr>
        <w:tc>
          <w:tcPr>
            <w:tcW w:type="dxa" w:w="3118"/>
            <w:tcBorders>
              <w:top w:val="single" w:sz="4" w:color="C4B8A5"/>
              <w:bottom w:val="single" w:sz="4" w:color="C4B8A5"/>
            </w:tcBorders>
            <w:shd w:fill="FFFFFF" w:val="clear"/>
          </w:tcPr>
          <w:p>
            <w:r>
              <w:rPr>
                <w:rFonts w:ascii="Calibri" w:hAnsi="Calibri" w:eastAsia="Calibri"/>
                <w:b w:val="0"/>
                <w:i w:val="0"/>
                <w:color w:val="2C2A28"/>
                <w:sz w:val="20"/>
              </w:rPr>
              <w:t>Work</w:t>
            </w:r>
          </w:p>
        </w:tc>
        <w:tc>
          <w:tcPr>
            <w:tcW w:type="dxa" w:w="6746"/>
            <w:tcBorders>
              <w:top w:val="single" w:sz="4" w:color="C4B8A5"/>
              <w:bottom w:val="single" w:sz="4" w:color="C4B8A5"/>
            </w:tcBorders>
            <w:shd w:fill="FFFFFF" w:val="clear"/>
          </w:tcPr>
          <w:p>
            <w:r>
              <w:rPr>
                <w:rFonts w:ascii="Calibri" w:hAnsi="Calibri" w:eastAsia="Calibri"/>
                <w:b w:val="0"/>
                <w:i w:val="0"/>
                <w:color w:val="2C2A28"/>
                <w:sz w:val="20"/>
              </w:rPr>
              <w:t>Mostly agents. Independent Property Group ~37% of a 150-job sample; then Blackshaw, Ray White, McCann, Francis.</w:t>
            </w:r>
          </w:p>
        </w:tc>
      </w:tr>
      <w:tr>
        <w:tc>
          <w:tcPr>
            <w:tcW w:type="dxa" w:w="3118"/>
            <w:tcBorders>
              <w:top w:val="single" w:sz="4" w:color="C4B8A5"/>
              <w:bottom w:val="single" w:sz="4" w:color="C4B8A5"/>
            </w:tcBorders>
            <w:shd w:fill="F3EEE6" w:val="clear"/>
          </w:tcPr>
          <w:p>
            <w:r>
              <w:rPr>
                <w:rFonts w:ascii="Calibri" w:hAnsi="Calibri" w:eastAsia="Calibri"/>
                <w:b w:val="0"/>
                <w:i w:val="0"/>
                <w:color w:val="2C2A28"/>
                <w:sz w:val="20"/>
              </w:rPr>
              <w:t>Team now</w:t>
            </w:r>
          </w:p>
        </w:tc>
        <w:tc>
          <w:tcPr>
            <w:tcW w:type="dxa" w:w="6746"/>
            <w:tcBorders>
              <w:top w:val="single" w:sz="4" w:color="C4B8A5"/>
              <w:bottom w:val="single" w:sz="4" w:color="C4B8A5"/>
            </w:tcBorders>
            <w:shd w:fill="F3EEE6" w:val="clear"/>
          </w:tcPr>
          <w:p>
            <w:r>
              <w:rPr>
                <w:rFonts w:ascii="Calibri" w:hAnsi="Calibri" w:eastAsia="Calibri"/>
                <w:b w:val="0"/>
                <w:i w:val="0"/>
                <w:color w:val="2C2A28"/>
                <w:sz w:val="20"/>
              </w:rPr>
              <w:t>Owner-stylist. Two stylists left this year. One truck role recently ended.</w:t>
            </w:r>
          </w:p>
        </w:tc>
      </w:tr>
      <w:tr>
        <w:tc>
          <w:tcPr>
            <w:tcW w:type="dxa" w:w="3118"/>
            <w:tcBorders>
              <w:top w:val="single" w:sz="4" w:color="C4B8A5"/>
              <w:bottom w:val="single" w:sz="4" w:color="C4B8A5"/>
            </w:tcBorders>
            <w:shd w:fill="FFFFFF" w:val="clear"/>
          </w:tcPr>
          <w:p>
            <w:r>
              <w:rPr>
                <w:rFonts w:ascii="Calibri" w:hAnsi="Calibri" w:eastAsia="Calibri"/>
                <w:b w:val="0"/>
                <w:i w:val="0"/>
                <w:color w:val="2C2A28"/>
                <w:sz w:val="20"/>
              </w:rPr>
              <w:t>Handover</w:t>
            </w:r>
          </w:p>
        </w:tc>
        <w:tc>
          <w:tcPr>
            <w:tcW w:type="dxa" w:w="6746"/>
            <w:tcBorders>
              <w:top w:val="single" w:sz="4" w:color="C4B8A5"/>
              <w:bottom w:val="single" w:sz="4" w:color="C4B8A5"/>
            </w:tcBorders>
            <w:shd w:fill="FFFFFF" w:val="clear"/>
          </w:tcPr>
          <w:p>
            <w:r>
              <w:rPr>
                <w:rFonts w:ascii="Calibri" w:hAnsi="Calibri" w:eastAsia="Calibri"/>
                <w:b w:val="0"/>
                <w:i w:val="0"/>
                <w:color w:val="2C2A28"/>
                <w:sz w:val="20"/>
              </w:rPr>
              <w:t>Up to three months, including agency introductions.</w:t>
            </w:r>
          </w:p>
        </w:tc>
      </w:tr>
      <w:tr>
        <w:tc>
          <w:tcPr>
            <w:tcW w:type="dxa" w:w="3118"/>
            <w:tcBorders>
              <w:top w:val="single" w:sz="4" w:color="C4B8A5"/>
              <w:bottom w:val="single" w:sz="4" w:color="C4B8A5"/>
            </w:tcBorders>
            <w:shd w:fill="F3EEE6" w:val="clear"/>
          </w:tcPr>
          <w:p>
            <w:r>
              <w:rPr>
                <w:rFonts w:ascii="Calibri" w:hAnsi="Calibri" w:eastAsia="Calibri"/>
                <w:b w:val="0"/>
                <w:i w:val="0"/>
                <w:color w:val="2C2A28"/>
                <w:sz w:val="20"/>
              </w:rPr>
              <w:t>Website / phone</w:t>
            </w:r>
          </w:p>
        </w:tc>
        <w:tc>
          <w:tcPr>
            <w:tcW w:type="dxa" w:w="6746"/>
            <w:tcBorders>
              <w:top w:val="single" w:sz="4" w:color="C4B8A5"/>
              <w:bottom w:val="single" w:sz="4" w:color="C4B8A5"/>
            </w:tcBorders>
            <w:shd w:fill="F3EEE6" w:val="clear"/>
          </w:tcPr>
          <w:p>
            <w:r>
              <w:rPr>
                <w:rFonts w:ascii="Calibri" w:hAnsi="Calibri" w:eastAsia="Calibri"/>
                <w:b w:val="0"/>
                <w:i w:val="0"/>
                <w:color w:val="2C2A28"/>
                <w:sz w:val="20"/>
              </w:rPr>
              <w:t>elementspropertystyling.com.au  ·  0436 000 230</w:t>
            </w:r>
          </w:p>
        </w:tc>
      </w:tr>
    </w:tbl>
    <w:p>
      <w:pPr>
        <w:spacing w:after="120"/>
      </w:pPr>
    </w:p>
    <w:p>
      <w:pPr>
        <w:spacing w:after="160" w:before="320" w:line="276" w:lineRule="auto"/>
        <w:jc w:val="left"/>
      </w:pPr>
      <w:r>
        <w:rPr>
          <w:rFonts w:ascii="Calibri" w:hAnsi="Calibri" w:eastAsia="Calibri"/>
          <w:b/>
          <w:i w:val="0"/>
          <w:color w:val="3D4A42"/>
          <w:sz w:val="36"/>
        </w:rPr>
        <w:t>How to price the conversation</w:t>
      </w:r>
    </w:p>
    <w:p>
      <w:pPr>
        <w:spacing w:after="160" w:before="0" w:line="276" w:lineRule="auto"/>
        <w:jc w:val="both"/>
      </w:pPr>
      <w:r>
        <w:rPr>
          <w:rFonts w:ascii="Calibri" w:hAnsi="Calibri" w:eastAsia="Calibri"/>
          <w:b w:val="0"/>
          <w:i w:val="0"/>
          <w:color w:val="2C2A28"/>
          <w:sz w:val="22"/>
        </w:rPr>
        <w:t>Do not take $500,000 to market as a 5× earnings story. On their own normalised FY2025 figure it is closer to 19×. That will not survive a buyer’s spreadsheet.</w:t>
      </w:r>
    </w:p>
    <w:p>
      <w:pPr>
        <w:spacing w:after="160" w:before="0" w:line="276" w:lineRule="auto"/>
        <w:jc w:val="both"/>
      </w:pPr>
      <w:r>
        <w:rPr>
          <w:rFonts w:ascii="Calibri" w:hAnsi="Calibri" w:eastAsia="Calibri"/>
          <w:b w:val="0"/>
          <w:i w:val="0"/>
          <w:color w:val="2C2A28"/>
          <w:sz w:val="22"/>
        </w:rPr>
        <w:t>The defendable conversation is asset-backed going concern: plant on the books at about $416,000, three vehicles, a 444 m² shed, a live book of work, and a three-month introduction to Independent, Blackshaw and the rest. Asking $500,000 leaves room to land nearer replacement cost of the stock and vehicles. Comparable owner-operator staging businesses in Sydney and Melbourne have recently been advertised at or below inventory (Inner West Sydney $350,000 ask against $545,000 of equipment; Melbourne $150,000 ask against ~$500,000 of stock at cost; a Melbourne asset sale under contract at $129,000). Canberra already has another styling file advertised at $135,000 plus stock — not this one. This warehouse is larger than those 8–10 home asset sales. It is not a $2 million Sydney luxury firm.</w:t>
      </w:r>
    </w:p>
    <w:p>
      <w:pPr>
        <w:spacing w:after="160" w:before="0" w:line="276" w:lineRule="auto"/>
        <w:jc w:val="both"/>
      </w:pPr>
      <w:r>
        <w:rPr>
          <w:rFonts w:ascii="Calibri" w:hAnsi="Calibri" w:eastAsia="Calibri"/>
          <w:b w:val="0"/>
          <w:i w:val="0"/>
          <w:color w:val="2C2A28"/>
          <w:sz w:val="22"/>
        </w:rPr>
        <w:t>FY2024 turnover of $494,880 is the ‘this can run near half a million’ proof. FY2025 is the ‘owners took their foot off for family’ year. A buyer will underwrite the lower year unless utilisation is visibly back. On the call, 19 homes were out — that is a live operation, not a mothballed shed.</w:t>
      </w:r>
    </w:p>
    <w:p>
      <w:pPr>
        <w:spacing w:after="160" w:before="320" w:line="276" w:lineRule="auto"/>
        <w:jc w:val="left"/>
      </w:pPr>
      <w:r>
        <w:rPr>
          <w:rFonts w:ascii="Calibri" w:hAnsi="Calibri" w:eastAsia="Calibri"/>
          <w:b/>
          <w:i w:val="0"/>
          <w:color w:val="3D4A42"/>
          <w:sz w:val="36"/>
        </w:rPr>
        <w:t>What not to write in a listing</w:t>
      </w:r>
    </w:p>
    <w:p>
      <w:pPr>
        <w:pStyle w:val="ListBullet"/>
        <w:spacing w:after="60" w:before="0"/>
      </w:pPr>
      <w:r>
        <w:rPr>
          <w:rFonts w:ascii="Calibri" w:hAnsi="Calibri" w:eastAsia="Calibri"/>
          <w:b w:val="0"/>
          <w:i w:val="0"/>
          <w:color w:val="2C2A28"/>
          <w:sz w:val="22"/>
        </w:rPr>
        <w:t>Do not say 15 years. The company started in 2016. The pack also says nine years. Use nine to ten.</w:t>
      </w:r>
    </w:p>
    <w:p>
      <w:pPr>
        <w:pStyle w:val="ListBullet"/>
        <w:spacing w:after="60" w:before="0"/>
      </w:pPr>
      <w:r>
        <w:rPr>
          <w:rFonts w:ascii="Calibri" w:hAnsi="Calibri" w:eastAsia="Calibri"/>
          <w:b w:val="0"/>
          <w:i w:val="0"/>
          <w:color w:val="2C2A28"/>
          <w:sz w:val="22"/>
        </w:rPr>
        <w:t>Do not say the business no longer depends on the owner. Tricia said the agents are tied to her. Sell a contracted handover, not a self-driving firm.</w:t>
      </w:r>
    </w:p>
    <w:p>
      <w:pPr>
        <w:pStyle w:val="ListBullet"/>
        <w:spacing w:after="60" w:before="0"/>
      </w:pPr>
      <w:r>
        <w:rPr>
          <w:rFonts w:ascii="Calibri" w:hAnsi="Calibri" w:eastAsia="Calibri"/>
          <w:b w:val="0"/>
          <w:i w:val="0"/>
          <w:color w:val="2C2A28"/>
          <w:sz w:val="22"/>
        </w:rPr>
        <w:t>Do not say currently profitable without showing FY2025. Show the three years and the normalisation.</w:t>
      </w:r>
    </w:p>
    <w:p>
      <w:pPr>
        <w:pStyle w:val="ListBullet"/>
        <w:spacing w:after="60" w:before="0"/>
      </w:pPr>
      <w:r>
        <w:rPr>
          <w:rFonts w:ascii="Calibri" w:hAnsi="Calibri" w:eastAsia="Calibri"/>
          <w:b w:val="0"/>
          <w:i w:val="0"/>
          <w:color w:val="2C2A28"/>
          <w:sz w:val="22"/>
        </w:rPr>
        <w:t>Do not lead with Instagram or AI-led growth. This book is agency relationships and a truck.</w:t>
      </w:r>
    </w:p>
    <w:p>
      <w:pPr>
        <w:pStyle w:val="ListBullet"/>
        <w:spacing w:after="60" w:before="0"/>
      </w:pPr>
      <w:r>
        <w:rPr>
          <w:rFonts w:ascii="Calibri" w:hAnsi="Calibri" w:eastAsia="Calibri"/>
          <w:b w:val="0"/>
          <w:i w:val="0"/>
          <w:color w:val="2C2A28"/>
          <w:sz w:val="22"/>
        </w:rPr>
        <w:t>Do not put the trading name on SEEK. Confidential teaser, then NDA, then the memorandum.</w:t>
      </w:r>
    </w:p>
    <w:p>
      <w:pPr>
        <w:pStyle w:val="ListBullet"/>
        <w:spacing w:after="60" w:before="0"/>
      </w:pPr>
      <w:r>
        <w:rPr>
          <w:rFonts w:ascii="Calibri" w:hAnsi="Calibri" w:eastAsia="Calibri"/>
          <w:b w:val="0"/>
          <w:i w:val="0"/>
          <w:color w:val="2C2A28"/>
          <w:sz w:val="22"/>
        </w:rPr>
        <w:t>Hive Property was shown as 4.7% of 150 jobs in v17. Four jobs is 2.7%. Percentages in the rebuilt IM are recalculated from counts.</w:t>
      </w:r>
    </w:p>
    <w:p>
      <w:pPr>
        <w:spacing w:after="160" w:before="320" w:line="276" w:lineRule="auto"/>
        <w:jc w:val="left"/>
      </w:pPr>
      <w:r>
        <w:rPr>
          <w:rFonts w:ascii="Calibri" w:hAnsi="Calibri" w:eastAsia="Calibri"/>
          <w:b/>
          <w:i w:val="0"/>
          <w:color w:val="3D4A42"/>
          <w:sz w:val="36"/>
        </w:rPr>
        <w:t>Legal hygiene before you go out</w:t>
      </w:r>
    </w:p>
    <w:p>
      <w:pPr>
        <w:pStyle w:val="ListBullet"/>
        <w:spacing w:after="60" w:before="0"/>
      </w:pPr>
      <w:r>
        <w:rPr>
          <w:rFonts w:ascii="Calibri" w:hAnsi="Calibri" w:eastAsia="Calibri"/>
          <w:b w:val="0"/>
          <w:i w:val="0"/>
          <w:color w:val="2C2A28"/>
          <w:sz w:val="22"/>
        </w:rPr>
        <w:t>Two entities on the public record: ACN 614 774 211 (now Willow and Oak Collective Pty Ltd, was Elements Property Styling Pty Ltd) and ABN 19 606 751 988 (Elements Property Styling ACT Trust). Confirm the vendor for an asset sale.</w:t>
      </w:r>
    </w:p>
    <w:p>
      <w:pPr>
        <w:pStyle w:val="ListBullet"/>
        <w:spacing w:after="60" w:before="0"/>
      </w:pPr>
      <w:r>
        <w:rPr>
          <w:rFonts w:ascii="Calibri" w:hAnsi="Calibri" w:eastAsia="Calibri"/>
          <w:b w:val="0"/>
          <w:i w:val="0"/>
          <w:color w:val="2C2A28"/>
          <w:sz w:val="22"/>
        </w:rPr>
        <w:t>The .com.au was marked not eligible for renewal in September 2026 because the registrant still used the old company name. Fix before due diligence.</w:t>
      </w:r>
    </w:p>
    <w:p>
      <w:pPr>
        <w:pStyle w:val="ListBullet"/>
        <w:spacing w:after="60" w:before="0"/>
      </w:pPr>
      <w:r>
        <w:rPr>
          <w:rFonts w:ascii="Calibri" w:hAnsi="Calibri" w:eastAsia="Calibri"/>
          <w:b w:val="0"/>
          <w:i w:val="0"/>
          <w:color w:val="2C2A28"/>
          <w:sz w:val="22"/>
        </w:rPr>
        <w:t>PPSR on company, trust, vehicles and stock. Lease assignment on the Queanbeyan shed.</w:t>
      </w:r>
    </w:p>
    <w:p>
      <w:pPr>
        <w:pStyle w:val="ListBullet"/>
        <w:spacing w:after="60" w:before="0"/>
      </w:pPr>
      <w:r>
        <w:rPr>
          <w:rFonts w:ascii="Calibri" w:hAnsi="Calibri" w:eastAsia="Calibri"/>
          <w:b w:val="0"/>
          <w:i w:val="0"/>
          <w:color w:val="2C2A28"/>
          <w:sz w:val="22"/>
        </w:rPr>
        <w:t>Asset sale is cleaner than a share sale given the rename and the trust.</w:t>
      </w:r>
    </w:p>
    <w:p>
      <w:pPr>
        <w:spacing w:after="160" w:before="320" w:line="276" w:lineRule="auto"/>
        <w:jc w:val="left"/>
      </w:pPr>
      <w:r>
        <w:rPr>
          <w:rFonts w:ascii="Calibri" w:hAnsi="Calibri" w:eastAsia="Calibri"/>
          <w:b/>
          <w:i w:val="0"/>
          <w:color w:val="3D4A42"/>
          <w:sz w:val="36"/>
        </w:rPr>
        <w:t>Suggested process</w:t>
      </w:r>
    </w:p>
    <w:p>
      <w:pPr>
        <w:pStyle w:val="ListBullet"/>
        <w:spacing w:after="60" w:before="0"/>
      </w:pPr>
      <w:r>
        <w:rPr>
          <w:rFonts w:ascii="Calibri" w:hAnsi="Calibri" w:eastAsia="Calibri"/>
          <w:b w:val="0"/>
          <w:i w:val="0"/>
          <w:color w:val="2C2A28"/>
          <w:sz w:val="22"/>
        </w:rPr>
        <w:t>Confidential. No public ad with the name while jobs are on the floor.</w:t>
      </w:r>
    </w:p>
    <w:p>
      <w:pPr>
        <w:pStyle w:val="ListBullet"/>
        <w:spacing w:after="60" w:before="0"/>
      </w:pPr>
      <w:r>
        <w:rPr>
          <w:rFonts w:ascii="Calibri" w:hAnsi="Calibri" w:eastAsia="Calibri"/>
          <w:b w:val="0"/>
          <w:i w:val="0"/>
          <w:color w:val="2C2A28"/>
          <w:sz w:val="22"/>
        </w:rPr>
        <w:t>Week 1: teaser to local warehouse operators (Impressions, The Look, The Property Stylists, Sold On Styling, Adore, Mojo) plus your own buyer list. Same day.</w:t>
      </w:r>
    </w:p>
    <w:p>
      <w:pPr>
        <w:pStyle w:val="ListBullet"/>
        <w:spacing w:after="60" w:before="0"/>
      </w:pPr>
      <w:r>
        <w:rPr>
          <w:rFonts w:ascii="Calibri" w:hAnsi="Calibri" w:eastAsia="Calibri"/>
          <w:b w:val="0"/>
          <w:i w:val="0"/>
          <w:color w:val="2C2A28"/>
          <w:sz w:val="22"/>
        </w:rPr>
        <w:t>NDA, then the information memorandum, then an after-hours warehouse viewing.</w:t>
      </w:r>
    </w:p>
    <w:p>
      <w:pPr>
        <w:pStyle w:val="ListBullet"/>
        <w:spacing w:after="60" w:before="0"/>
      </w:pPr>
      <w:r>
        <w:rPr>
          <w:rFonts w:ascii="Calibri" w:hAnsi="Calibri" w:eastAsia="Calibri"/>
          <w:b w:val="0"/>
          <w:i w:val="0"/>
          <w:color w:val="2C2A28"/>
          <w:sz w:val="22"/>
        </w:rPr>
        <w:t>Written offers. One asking number. Do not run five private prices.</w:t>
      </w:r>
    </w:p>
    <w:p>
      <w:pPr>
        <w:pStyle w:val="ListBullet"/>
        <w:spacing w:after="60" w:before="0"/>
      </w:pPr>
      <w:r>
        <w:rPr>
          <w:rFonts w:ascii="Calibri" w:hAnsi="Calibri" w:eastAsia="Calibri"/>
          <w:b w:val="0"/>
          <w:i w:val="0"/>
          <w:color w:val="2C2A28"/>
          <w:sz w:val="22"/>
        </w:rPr>
        <w:t>If the going-concern interest is weak after four weeks, re-cut as a warehouse lot sale.</w:t>
      </w:r>
    </w:p>
    <w:p>
      <w:pPr>
        <w:pStyle w:val="ListBullet"/>
        <w:spacing w:after="60" w:before="0"/>
      </w:pPr>
      <w:r>
        <w:rPr>
          <w:rFonts w:ascii="Calibri" w:hAnsi="Calibri" w:eastAsia="Calibri"/>
          <w:b w:val="0"/>
          <w:i w:val="0"/>
          <w:color w:val="2C2A28"/>
          <w:sz w:val="22"/>
        </w:rPr>
        <w:t>Settlement that does not dump 19 collections on one Friday. Handover up to 12 weeks, including by video once Tricia is in Brisbane.</w:t>
      </w:r>
    </w:p>
    <w:p>
      <w:pPr>
        <w:spacing w:after="160" w:before="320" w:line="276" w:lineRule="auto"/>
        <w:jc w:val="left"/>
      </w:pPr>
      <w:r>
        <w:rPr>
          <w:rFonts w:ascii="Calibri" w:hAnsi="Calibri" w:eastAsia="Calibri"/>
          <w:b/>
          <w:i w:val="0"/>
          <w:color w:val="3D4A42"/>
          <w:sz w:val="36"/>
        </w:rPr>
        <w:t>Likely buyers</w:t>
      </w:r>
    </w:p>
    <w:p>
      <w:pPr>
        <w:pStyle w:val="ListBullet"/>
        <w:spacing w:after="60" w:before="0"/>
      </w:pPr>
      <w:r>
        <w:rPr>
          <w:rFonts w:ascii="Calibri" w:hAnsi="Calibri" w:eastAsia="Calibri"/>
          <w:b w:val="0"/>
          <w:i w:val="0"/>
          <w:color w:val="2C2A28"/>
          <w:sz w:val="22"/>
        </w:rPr>
        <w:t>Existing Canberra stylist wanting capacity (The Look, Property Stylists, Sold On, Adore, Mojo).</w:t>
      </w:r>
    </w:p>
    <w:p>
      <w:pPr>
        <w:pStyle w:val="ListBullet"/>
        <w:spacing w:after="60" w:before="0"/>
      </w:pPr>
      <w:r>
        <w:rPr>
          <w:rFonts w:ascii="Calibri" w:hAnsi="Calibri" w:eastAsia="Calibri"/>
          <w:b w:val="0"/>
          <w:i w:val="0"/>
          <w:color w:val="2C2A28"/>
          <w:sz w:val="22"/>
        </w:rPr>
        <w:t>Impressions (Nicole Heins) — oldest operator. Vendor thinks she may already have enough and may herself be near retirement. Still ask. A no is useful.</w:t>
      </w:r>
    </w:p>
    <w:p>
      <w:pPr>
        <w:pStyle w:val="ListBullet"/>
        <w:spacing w:after="60" w:before="0"/>
      </w:pPr>
      <w:r>
        <w:rPr>
          <w:rFonts w:ascii="Calibri" w:hAnsi="Calibri" w:eastAsia="Calibri"/>
          <w:b w:val="0"/>
          <w:i w:val="0"/>
          <w:color w:val="2C2A28"/>
          <w:sz w:val="22"/>
        </w:rPr>
        <w:t>Working owner-stylist from interstate who wants a Canberra base.</w:t>
      </w:r>
    </w:p>
    <w:p>
      <w:pPr>
        <w:pStyle w:val="ListBullet"/>
        <w:spacing w:after="60" w:before="0"/>
      </w:pPr>
      <w:r>
        <w:rPr>
          <w:rFonts w:ascii="Calibri" w:hAnsi="Calibri" w:eastAsia="Calibri"/>
          <w:b w:val="0"/>
          <w:i w:val="0"/>
          <w:color w:val="2C2A28"/>
          <w:sz w:val="22"/>
        </w:rPr>
        <w:t>Unlikely: a passive investor, or a marketing buyer who wants to ‘plug in ads’. The work is physical and the goodwill is personal.</w:t>
      </w:r>
    </w:p>
    <w:p>
      <w:pPr>
        <w:spacing w:after="160" w:before="320" w:line="276" w:lineRule="auto"/>
        <w:jc w:val="left"/>
      </w:pPr>
      <w:r>
        <w:rPr>
          <w:rFonts w:ascii="Calibri" w:hAnsi="Calibri" w:eastAsia="Calibri"/>
          <w:b w:val="0"/>
          <w:i/>
          <w:color w:val="57534E"/>
          <w:sz w:val="18"/>
        </w:rPr>
        <w:t>This brief was prepared by Tyson Whitewood after reading the owners’ v17 pack and speaking with Tricia on 11 September 2026. He is not appointed on the sale and is not licensed as an ACT business agent.</w:t>
      </w:r>
    </w:p>
    <w:sectPr w:rsidR="00FC693F" w:rsidRPr="0006063C" w:rsidSect="00034616">
      <w:footerReference w:type="default" r:id="rId9"/>
      <w:pgSz w:w="11906" w:h="16838"/>
      <w:pgMar w:top="907"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rFonts w:ascii="Calibri" w:hAnsi="Calibri" w:eastAsia="Calibri"/>
        <w:b w:val="0"/>
        <w:i w:val="0"/>
        <w:color w:val="57534E"/>
        <w:sz w:val="16"/>
      </w:rPr>
      <w:t xml:space="preserve">Confidential vendor brief  ·  not for buyers   ·   </w:t>
    </w:r>
    <w:r>
      <w:rPr>
        <w:rFonts w:ascii="Calibri" w:hAnsi="Calibri" w:eastAsia="Calibri"/>
        <w:b w:val="0"/>
        <w:i w:val="0"/>
        <w:color w:val="57534E"/>
        <w:sz w:val="16"/>
      </w:rPr>
      <w:t xml:space="preserve">Page </w:t>
    </w:r>
    <w:r>
      <w:rPr>
        <w:rFonts w:ascii="Calibri" w:hAnsi="Calibri" w:eastAsia="Calibri"/>
        <w:b w:val="0"/>
        <w:i w:val="0"/>
        <w:color w:val="57534E"/>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Elements Property Styling — confidential broker brief</dc:title>
  <dc:subject/>
  <dc:creator>Tyson Whitewood</dc:creator>
  <cp:keywords/>
  <dc:description>generated by python-docx</dc:description>
  <cp:lastModifiedBy>Tyson Whitewood</cp:lastModifiedBy>
  <cp:revision>1</cp:revision>
  <dcterms:created xsi:type="dcterms:W3CDTF">2013-12-23T23:15:00Z</dcterms:created>
  <dcterms:modified xsi:type="dcterms:W3CDTF">2013-12-23T23:15:00Z</dcterms:modified>
  <cp:category/>
</cp:coreProperties>
</file>