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80"/>
        <w:jc w:val="center"/>
      </w:pPr>
      <w:r>
        <w:drawing>
          <wp:inline xmlns:a="http://schemas.openxmlformats.org/drawingml/2006/main" xmlns:pic="http://schemas.openxmlformats.org/drawingml/2006/picture">
            <wp:extent cx="1920240" cy="1139210"/>
            <wp:docPr id="1" name="Picture 1"/>
            <wp:cNvGraphicFramePr>
              <a:graphicFrameLocks noChangeAspect="1"/>
            </wp:cNvGraphicFramePr>
            <a:graphic>
              <a:graphicData uri="http://schemas.openxmlformats.org/drawingml/2006/picture">
                <pic:pic>
                  <pic:nvPicPr>
                    <pic:cNvPr id="0" name="elementspropertystylingcanberralogo-1.png"/>
                    <pic:cNvPicPr/>
                  </pic:nvPicPr>
                  <pic:blipFill>
                    <a:blip r:embed="rId10"/>
                    <a:stretch>
                      <a:fillRect/>
                    </a:stretch>
                  </pic:blipFill>
                  <pic:spPr>
                    <a:xfrm>
                      <a:off x="0" y="0"/>
                      <a:ext cx="1920240" cy="1139210"/>
                    </a:xfrm>
                    <a:prstGeom prst="rect"/>
                  </pic:spPr>
                </pic:pic>
              </a:graphicData>
            </a:graphic>
          </wp:inline>
        </w:drawing>
      </w:r>
    </w:p>
    <w:p>
      <w:pPr>
        <w:spacing w:after="80" w:before="0" w:line="276" w:lineRule="auto"/>
        <w:jc w:val="center"/>
      </w:pPr>
      <w:r>
        <w:rPr>
          <w:rFonts w:ascii="Calibri" w:hAnsi="Calibri" w:eastAsia="Calibri"/>
          <w:b w:val="0"/>
          <w:i w:val="0"/>
          <w:color w:val="8B5E3C"/>
          <w:sz w:val="20"/>
        </w:rPr>
        <w:t>CONFIDENTIAL</w:t>
      </w:r>
    </w:p>
    <w:p>
      <w:pPr>
        <w:spacing w:after="40" w:before="0" w:line="276" w:lineRule="auto"/>
        <w:jc w:val="center"/>
      </w:pPr>
      <w:r>
        <w:rPr>
          <w:rFonts w:ascii="Calibri" w:hAnsi="Calibri" w:eastAsia="Calibri"/>
          <w:b w:val="0"/>
          <w:i w:val="0"/>
          <w:color w:val="57534E"/>
          <w:sz w:val="24"/>
        </w:rPr>
        <w:t>Information memorandum</w:t>
      </w:r>
    </w:p>
    <w:p>
      <w:pPr>
        <w:spacing w:after="80" w:before="0" w:line="276" w:lineRule="auto"/>
        <w:jc w:val="center"/>
      </w:pPr>
      <w:r>
        <w:rPr>
          <w:rFonts w:ascii="Calibri" w:hAnsi="Calibri" w:eastAsia="Calibri"/>
          <w:b/>
          <w:i w:val="0"/>
          <w:color w:val="3D4A42"/>
          <w:sz w:val="56"/>
        </w:rPr>
        <w:t>Elements Property Styling</w:t>
      </w:r>
    </w:p>
    <w:p>
      <w:pPr>
        <w:spacing w:after="200" w:before="0" w:line="276" w:lineRule="auto"/>
        <w:jc w:val="center"/>
      </w:pPr>
      <w:r>
        <w:rPr>
          <w:rFonts w:ascii="Calibri" w:hAnsi="Calibri" w:eastAsia="Calibri"/>
          <w:b w:val="0"/>
          <w:i/>
          <w:color w:val="57534E"/>
          <w:sz w:val="26"/>
        </w:rPr>
        <w:t>An established Canberra staging business, offered as the owner retires.</w:t>
      </w:r>
    </w:p>
    <w:p>
      <w:pPr>
        <w:spacing w:before="120" w:after="80"/>
        <w:jc w:val="center"/>
      </w:pPr>
      <w:r>
        <w:drawing>
          <wp:inline xmlns:a="http://schemas.openxmlformats.org/drawingml/2006/main" xmlns:pic="http://schemas.openxmlformats.org/drawingml/2006/picture">
            <wp:extent cx="6035040" cy="4543017"/>
            <wp:docPr id="2" name="Picture 2"/>
            <wp:cNvGraphicFramePr>
              <a:graphicFrameLocks noChangeAspect="1"/>
            </wp:cNvGraphicFramePr>
            <a:graphic>
              <a:graphicData uri="http://schemas.openxmlformats.org/drawingml/2006/picture">
                <pic:pic>
                  <pic:nvPicPr>
                    <pic:cNvPr id="0" name="cover.jpg"/>
                    <pic:cNvPicPr/>
                  </pic:nvPicPr>
                  <pic:blipFill>
                    <a:blip r:embed="rId11"/>
                    <a:stretch>
                      <a:fillRect/>
                    </a:stretch>
                  </pic:blipFill>
                  <pic:spPr>
                    <a:xfrm>
                      <a:off x="0" y="0"/>
                      <a:ext cx="6035040" cy="4543017"/>
                    </a:xfrm>
                    <a:prstGeom prst="rect"/>
                  </pic:spPr>
                </pic:pic>
              </a:graphicData>
            </a:graphic>
          </wp:inline>
        </w:drawing>
      </w:r>
    </w:p>
    <w:p>
      <w:pPr>
        <w:spacing w:after="200" w:before="0" w:line="276" w:lineRule="auto"/>
        <w:jc w:val="center"/>
      </w:pPr>
      <w:r>
        <w:rPr>
          <w:rFonts w:ascii="Calibri" w:hAnsi="Calibri" w:eastAsia="Calibri"/>
          <w:b w:val="0"/>
          <w:i/>
          <w:color w:val="57534E"/>
          <w:sz w:val="18"/>
        </w:rPr>
        <w:t>From the owners’ portfolio</w:t>
      </w:r>
    </w:p>
    <w:p>
      <w:pPr>
        <w:spacing w:after="80" w:before="0" w:line="276" w:lineRule="auto"/>
        <w:jc w:val="center"/>
      </w:pPr>
      <w:r>
        <w:rPr>
          <w:rFonts w:ascii="Calibri" w:hAnsi="Calibri" w:eastAsia="Calibri"/>
          <w:b w:val="0"/>
          <w:i w:val="0"/>
          <w:color w:val="57534E"/>
          <w:sz w:val="20"/>
        </w:rPr>
        <w:t>Queanbeyan warehouse  ·  Canberra and surrounding region  ·  September 2026</w:t>
      </w:r>
    </w:p>
    <w:p>
      <w:pPr>
        <w:spacing w:after="360" w:before="0" w:line="276" w:lineRule="auto"/>
        <w:jc w:val="center"/>
      </w:pPr>
      <w:r>
        <w:rPr>
          <w:rFonts w:ascii="Calibri" w:hAnsi="Calibri" w:eastAsia="Calibri"/>
          <w:b/>
          <w:i w:val="0"/>
          <w:color w:val="3D4A42"/>
          <w:sz w:val="28"/>
        </w:rPr>
        <w:t>Asking price  $500,000</w:t>
      </w:r>
    </w:p>
    <w:p>
      <w:pPr>
        <w:spacing w:after="0" w:before="0" w:line="276" w:lineRule="auto"/>
        <w:jc w:val="left"/>
      </w:pPr>
      <w:r>
        <w:rPr>
          <w:rFonts w:ascii="Calibri" w:hAnsi="Calibri" w:eastAsia="Calibri"/>
          <w:b w:val="0"/>
          <w:i w:val="0"/>
          <w:color w:val="2C2A28"/>
          <w:sz w:val="22"/>
        </w:rPr>
      </w:r>
    </w:p>
    <w:p>
      <w:r>
        <w:br/>
      </w:r>
    </w:p>
    <w:p>
      <w:pPr>
        <w:spacing w:after="160" w:before="320" w:line="276" w:lineRule="auto"/>
        <w:jc w:val="left"/>
      </w:pPr>
      <w:r>
        <w:rPr>
          <w:rFonts w:ascii="Calibri" w:hAnsi="Calibri" w:eastAsia="Calibri"/>
          <w:b/>
          <w:i w:val="0"/>
          <w:color w:val="3D4A42"/>
          <w:sz w:val="36"/>
        </w:rPr>
        <w:t>1. Snapshot</w:t>
      </w:r>
    </w:p>
    <w:p>
      <w:pPr>
        <w:spacing w:after="160" w:before="0" w:line="276" w:lineRule="auto"/>
        <w:jc w:val="both"/>
      </w:pPr>
      <w:r>
        <w:rPr>
          <w:rFonts w:ascii="Calibri" w:hAnsi="Calibri" w:eastAsia="Calibri"/>
          <w:b w:val="0"/>
          <w:i w:val="0"/>
          <w:color w:val="2C2A28"/>
          <w:sz w:val="22"/>
        </w:rPr>
        <w:t>Elements stages homes for sale in Canberra, Queanbeyan and nearby districts. Vacant houses, partial styling where the vendor is still living there, consultations, Style to Stay packages, and display work for builders and developers. The stock is owned, not hired in. The warehouse is rented. The vehicles are owned.</w:t>
      </w:r>
    </w:p>
    <w:tbl>
      <w:tblPr>
        <w:tblW w:type="auto" w:w="0"/>
        <w:jc w:val="center"/>
        <w:tblLayout w:type="fixed"/>
        <w:tblLook w:firstColumn="1" w:firstRow="1" w:lastColumn="0" w:lastRow="0" w:noHBand="0" w:noVBand="1" w:val="04A0"/>
      </w:tblPr>
      <w:tblGrid>
        <w:gridCol w:w="4933"/>
        <w:gridCol w:w="4933"/>
      </w:tblGrid>
      <w:tr>
        <w:tc>
          <w:tcPr>
            <w:tcW w:type="dxa" w:w="3515"/>
            <w:tcBorders>
              <w:top w:val="single" w:sz="4" w:color="3D4A42"/>
              <w:bottom w:val="single" w:sz="4" w:color="3D4A42"/>
            </w:tcBorders>
            <w:shd w:fill="3D4A42" w:val="clear"/>
          </w:tcPr>
          <w:p>
            <w:r>
              <w:rPr>
                <w:rFonts w:ascii="Calibri" w:hAnsi="Calibri" w:eastAsia="Calibri"/>
                <w:b/>
                <w:i w:val="0"/>
                <w:color w:val="FFFFFF"/>
                <w:sz w:val="18"/>
              </w:rPr>
            </w:r>
          </w:p>
        </w:tc>
        <w:tc>
          <w:tcPr>
            <w:tcW w:type="dxa" w:w="6350"/>
            <w:tcBorders>
              <w:top w:val="single" w:sz="4" w:color="3D4A42"/>
              <w:bottom w:val="single" w:sz="4" w:color="3D4A42"/>
            </w:tcBorders>
            <w:shd w:fill="3D4A42" w:val="clear"/>
          </w:tcPr>
          <w:p>
            <w:r>
              <w:rPr>
                <w:rFonts w:ascii="Calibri" w:hAnsi="Calibri" w:eastAsia="Calibri"/>
                <w:b/>
                <w:i w:val="0"/>
                <w:color w:val="FFFFFF"/>
                <w:sz w:val="18"/>
              </w:rPr>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Asking price</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$500,000</w:t>
            </w:r>
          </w:p>
        </w:tc>
      </w:tr>
      <w:tr>
        <w:tc>
          <w:tcPr>
            <w:tcW w:type="dxa" w:w="3515"/>
            <w:tcBorders>
              <w:top w:val="single" w:sz="4" w:color="C4B8A5"/>
              <w:bottom w:val="single" w:sz="4" w:color="C4B8A5"/>
            </w:tcBorders>
            <w:shd w:fill="F3EEE6" w:val="clear"/>
          </w:tcPr>
          <w:p>
            <w:r>
              <w:rPr>
                <w:rFonts w:ascii="Calibri" w:hAnsi="Calibri" w:eastAsia="Calibri"/>
                <w:b w:val="0"/>
                <w:i w:val="0"/>
                <w:color w:val="2C2A28"/>
                <w:sz w:val="20"/>
              </w:rPr>
              <w:t>Income FY2023 / FY2024 / FY2025</w:t>
            </w:r>
          </w:p>
        </w:tc>
        <w:tc>
          <w:tcPr>
            <w:tcW w:type="dxa" w:w="6350"/>
            <w:tcBorders>
              <w:top w:val="single" w:sz="4" w:color="C4B8A5"/>
              <w:bottom w:val="single" w:sz="4" w:color="C4B8A5"/>
            </w:tcBorders>
            <w:shd w:fill="F3EEE6" w:val="clear"/>
          </w:tcPr>
          <w:p>
            <w:r>
              <w:rPr>
                <w:rFonts w:ascii="Calibri" w:hAnsi="Calibri" w:eastAsia="Calibri"/>
                <w:b w:val="0"/>
                <w:i w:val="0"/>
                <w:color w:val="2C2A28"/>
                <w:sz w:val="20"/>
              </w:rPr>
              <w:t>$423,175  /  $494,880  /  $349,411</w:t>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FY2025 reported result</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Loss of $126,029  ·  normalised EBITDA about $26,209</w:t>
            </w:r>
          </w:p>
        </w:tc>
      </w:tr>
      <w:tr>
        <w:tc>
          <w:tcPr>
            <w:tcW w:type="dxa" w:w="3515"/>
            <w:tcBorders>
              <w:top w:val="single" w:sz="4" w:color="C4B8A5"/>
              <w:bottom w:val="single" w:sz="4" w:color="C4B8A5"/>
            </w:tcBorders>
            <w:shd w:fill="F3EEE6" w:val="clear"/>
          </w:tcPr>
          <w:p>
            <w:r>
              <w:rPr>
                <w:rFonts w:ascii="Calibri" w:hAnsi="Calibri" w:eastAsia="Calibri"/>
                <w:b w:val="0"/>
                <w:i w:val="0"/>
                <w:color w:val="2C2A28"/>
                <w:sz w:val="20"/>
              </w:rPr>
              <w:t>Plant and equipment (cost)</w:t>
            </w:r>
          </w:p>
        </w:tc>
        <w:tc>
          <w:tcPr>
            <w:tcW w:type="dxa" w:w="6350"/>
            <w:tcBorders>
              <w:top w:val="single" w:sz="4" w:color="C4B8A5"/>
              <w:bottom w:val="single" w:sz="4" w:color="C4B8A5"/>
            </w:tcBorders>
            <w:shd w:fill="F3EEE6" w:val="clear"/>
          </w:tcPr>
          <w:p>
            <w:r>
              <w:rPr>
                <w:rFonts w:ascii="Calibri" w:hAnsi="Calibri" w:eastAsia="Calibri"/>
                <w:b w:val="0"/>
                <w:i w:val="0"/>
                <w:color w:val="2C2A28"/>
                <w:sz w:val="20"/>
              </w:rPr>
              <w:t>$416,495 at FY2025</w:t>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Warehouse</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444 m², Queanbeyan, leased</w:t>
            </w:r>
          </w:p>
        </w:tc>
      </w:tr>
      <w:tr>
        <w:tc>
          <w:tcPr>
            <w:tcW w:type="dxa" w:w="3515"/>
            <w:tcBorders>
              <w:top w:val="single" w:sz="4" w:color="C4B8A5"/>
              <w:bottom w:val="single" w:sz="4" w:color="C4B8A5"/>
            </w:tcBorders>
            <w:shd w:fill="F3EEE6" w:val="clear"/>
          </w:tcPr>
          <w:p>
            <w:r>
              <w:rPr>
                <w:rFonts w:ascii="Calibri" w:hAnsi="Calibri" w:eastAsia="Calibri"/>
                <w:b w:val="0"/>
                <w:i w:val="0"/>
                <w:color w:val="2C2A28"/>
                <w:sz w:val="20"/>
              </w:rPr>
              <w:t>Vehicles</w:t>
            </w:r>
          </w:p>
        </w:tc>
        <w:tc>
          <w:tcPr>
            <w:tcW w:type="dxa" w:w="6350"/>
            <w:tcBorders>
              <w:top w:val="single" w:sz="4" w:color="C4B8A5"/>
              <w:bottom w:val="single" w:sz="4" w:color="C4B8A5"/>
            </w:tcBorders>
            <w:shd w:fill="F3EEE6" w:val="clear"/>
          </w:tcPr>
          <w:p>
            <w:r>
              <w:rPr>
                <w:rFonts w:ascii="Calibri" w:hAnsi="Calibri" w:eastAsia="Calibri"/>
                <w:b w:val="0"/>
                <w:i w:val="0"/>
                <w:color w:val="2C2A28"/>
                <w:sz w:val="20"/>
              </w:rPr>
              <w:t>Hino furniture truck and two other vehicles</w:t>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Homes the stock can dress</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About 30–37 at once, depending on the mix of older and newer houses</w:t>
            </w:r>
          </w:p>
        </w:tc>
      </w:tr>
      <w:tr>
        <w:tc>
          <w:tcPr>
            <w:tcW w:type="dxa" w:w="3515"/>
            <w:tcBorders>
              <w:top w:val="single" w:sz="4" w:color="C4B8A5"/>
              <w:bottom w:val="single" w:sz="4" w:color="C4B8A5"/>
            </w:tcBorders>
            <w:shd w:fill="F3EEE6" w:val="clear"/>
          </w:tcPr>
          <w:p>
            <w:r>
              <w:rPr>
                <w:rFonts w:ascii="Calibri" w:hAnsi="Calibri" w:eastAsia="Calibri"/>
                <w:b w:val="0"/>
                <w:i w:val="0"/>
                <w:color w:val="2C2A28"/>
                <w:sz w:val="20"/>
              </w:rPr>
              <w:t>On the floor now</w:t>
            </w:r>
          </w:p>
        </w:tc>
        <w:tc>
          <w:tcPr>
            <w:tcW w:type="dxa" w:w="6350"/>
            <w:tcBorders>
              <w:top w:val="single" w:sz="4" w:color="C4B8A5"/>
              <w:bottom w:val="single" w:sz="4" w:color="C4B8A5"/>
            </w:tcBorders>
            <w:shd w:fill="F3EEE6" w:val="clear"/>
          </w:tcPr>
          <w:p>
            <w:r>
              <w:rPr>
                <w:rFonts w:ascii="Calibri" w:hAnsi="Calibri" w:eastAsia="Calibri"/>
                <w:b w:val="0"/>
                <w:i w:val="0"/>
                <w:color w:val="2C2A28"/>
                <w:sz w:val="20"/>
              </w:rPr>
              <w:t>19 campaigns (as at mid-September 2026)</w:t>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Core work</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Real estate agencies, led by Independent Property Group, Blackshaw, Ray White, McCann and Francis</w:t>
            </w:r>
          </w:p>
        </w:tc>
      </w:tr>
      <w:tr>
        <w:tc>
          <w:tcPr>
            <w:tcW w:type="dxa" w:w="3515"/>
            <w:tcBorders>
              <w:top w:val="single" w:sz="4" w:color="C4B8A5"/>
              <w:bottom w:val="single" w:sz="4" w:color="C4B8A5"/>
            </w:tcBorders>
            <w:shd w:fill="F3EEE6" w:val="clear"/>
          </w:tcPr>
          <w:p>
            <w:r>
              <w:rPr>
                <w:rFonts w:ascii="Calibri" w:hAnsi="Calibri" w:eastAsia="Calibri"/>
                <w:b w:val="0"/>
                <w:i w:val="0"/>
                <w:color w:val="2C2A28"/>
                <w:sz w:val="20"/>
              </w:rPr>
              <w:t>Handover</w:t>
            </w:r>
          </w:p>
        </w:tc>
        <w:tc>
          <w:tcPr>
            <w:tcW w:type="dxa" w:w="6350"/>
            <w:tcBorders>
              <w:top w:val="single" w:sz="4" w:color="C4B8A5"/>
              <w:bottom w:val="single" w:sz="4" w:color="C4B8A5"/>
            </w:tcBorders>
            <w:shd w:fill="F3EEE6" w:val="clear"/>
          </w:tcPr>
          <w:p>
            <w:r>
              <w:rPr>
                <w:rFonts w:ascii="Calibri" w:hAnsi="Calibri" w:eastAsia="Calibri"/>
                <w:b w:val="0"/>
                <w:i w:val="0"/>
                <w:color w:val="2C2A28"/>
                <w:sz w:val="20"/>
              </w:rPr>
              <w:t>Up to three months, including introductions</w:t>
            </w:r>
          </w:p>
        </w:tc>
      </w:tr>
      <w:tr>
        <w:tc>
          <w:tcPr>
            <w:tcW w:type="dxa" w:w="3515"/>
            <w:tcBorders>
              <w:top w:val="single" w:sz="4" w:color="C4B8A5"/>
              <w:bottom w:val="single" w:sz="4" w:color="C4B8A5"/>
            </w:tcBorders>
            <w:shd w:fill="FFFFFF" w:val="clear"/>
          </w:tcPr>
          <w:p>
            <w:r>
              <w:rPr>
                <w:rFonts w:ascii="Calibri" w:hAnsi="Calibri" w:eastAsia="Calibri"/>
                <w:b w:val="0"/>
                <w:i w:val="0"/>
                <w:color w:val="2C2A28"/>
                <w:sz w:val="20"/>
              </w:rPr>
              <w:t>Why it is for sale</w:t>
            </w:r>
          </w:p>
        </w:tc>
        <w:tc>
          <w:tcPr>
            <w:tcW w:type="dxa" w:w="6350"/>
            <w:tcBorders>
              <w:top w:val="single" w:sz="4" w:color="C4B8A5"/>
              <w:bottom w:val="single" w:sz="4" w:color="C4B8A5"/>
            </w:tcBorders>
            <w:shd w:fill="FFFFFF" w:val="clear"/>
          </w:tcPr>
          <w:p>
            <w:r>
              <w:rPr>
                <w:rFonts w:ascii="Calibri" w:hAnsi="Calibri" w:eastAsia="Calibri"/>
                <w:b w:val="0"/>
                <w:i w:val="0"/>
                <w:color w:val="2C2A28"/>
                <w:sz w:val="20"/>
              </w:rPr>
              <w:t>The working owner is retiring. Family in Brisbane.</w:t>
            </w:r>
          </w:p>
        </w:tc>
      </w:tr>
    </w:tbl>
    <w:p>
      <w:pPr>
        <w:spacing w:after="120"/>
      </w:pPr>
    </w:p>
    <w:p>
      <w:pPr>
        <w:spacing w:after="160" w:before="0" w:line="276" w:lineRule="auto"/>
        <w:jc w:val="both"/>
      </w:pPr>
      <w:r>
        <w:rPr>
          <w:rFonts w:ascii="Calibri" w:hAnsi="Calibri" w:eastAsia="Calibri"/>
          <w:b w:val="0"/>
          <w:i w:val="0"/>
          <w:color w:val="2C2A28"/>
          <w:sz w:val="22"/>
        </w:rPr>
        <w:t>This is the second time the operation has changed hands. Linda Cheng started it in 2016. The current working owner, Tricia, was on the tools for three years, then bought it, and has run it for about five years. The next owner is not buying a brand-new idea. They are buying a shed, a truck, a book of agents, and a short period of Tricia’s time.</w:t>
      </w:r>
    </w:p>
    <w:p>
      <w:pPr>
        <w:spacing w:after="160" w:before="320" w:line="276" w:lineRule="auto"/>
        <w:jc w:val="left"/>
      </w:pPr>
      <w:r>
        <w:rPr>
          <w:rFonts w:ascii="Calibri" w:hAnsi="Calibri" w:eastAsia="Calibri"/>
          <w:b/>
          <w:i w:val="0"/>
          <w:color w:val="3D4A42"/>
          <w:sz w:val="36"/>
        </w:rPr>
        <w:t>2. What you are actually buying</w:t>
      </w:r>
    </w:p>
    <w:p>
      <w:pPr>
        <w:spacing w:after="160" w:before="0" w:line="276" w:lineRule="auto"/>
        <w:jc w:val="both"/>
      </w:pPr>
      <w:r>
        <w:rPr>
          <w:rFonts w:ascii="Calibri" w:hAnsi="Calibri" w:eastAsia="Calibri"/>
          <w:b w:val="0"/>
          <w:i w:val="0"/>
          <w:color w:val="2C2A28"/>
          <w:sz w:val="22"/>
        </w:rPr>
        <w:t>Furniture can be ordered. A Hino can be financed. What takes the years is the phone that rings because an agent already trusts the install. Elements has that book. In a sample of 150 quotes and jobs from the last year, work came from more than twenty sources. Independent Property Group was the largest at 55 jobs — about 37% — and that work is spread across several agents, not one person. Blackshaw, Ray White, McCann and Francis sit behind them. Builders, a developer, Uniting, and private vendors sit in the tail.</w:t>
      </w:r>
    </w:p>
    <w:p>
      <w:pPr>
        <w:spacing w:after="160" w:before="0" w:line="276" w:lineRule="auto"/>
        <w:jc w:val="both"/>
      </w:pPr>
      <w:r>
        <w:rPr>
          <w:rFonts w:ascii="Calibri" w:hAnsi="Calibri" w:eastAsia="Calibri"/>
          <w:b w:val="0"/>
          <w:i w:val="0"/>
          <w:color w:val="2C2A28"/>
          <w:sz w:val="22"/>
        </w:rPr>
        <w:t>Those relationships sit with Tricia today. She will introduce them. Whether they stay is then the buyer’s work. That is the honest version, and it is still a proper reason to buy a going concern rather than a truckload of sofas.</w:t>
      </w:r>
    </w:p>
    <w:p>
      <w:pPr>
        <w:spacing w:before="120" w:after="80"/>
        <w:jc w:val="center"/>
      </w:pPr>
      <w:r>
        <w:drawing>
          <wp:inline xmlns:a="http://schemas.openxmlformats.org/drawingml/2006/main" xmlns:pic="http://schemas.openxmlformats.org/drawingml/2006/picture">
            <wp:extent cx="5760720" cy="2839792"/>
            <wp:docPr id="3" name="Picture 3"/>
            <wp:cNvGraphicFramePr>
              <a:graphicFrameLocks noChangeAspect="1"/>
            </wp:cNvGraphicFramePr>
            <a:graphic>
              <a:graphicData uri="http://schemas.openxmlformats.org/drawingml/2006/picture">
                <pic:pic>
                  <pic:nvPicPr>
                    <pic:cNvPr id="0" name="referrals.png"/>
                    <pic:cNvPicPr/>
                  </pic:nvPicPr>
                  <pic:blipFill>
                    <a:blip r:embed="rId12"/>
                    <a:stretch>
                      <a:fillRect/>
                    </a:stretch>
                  </pic:blipFill>
                  <pic:spPr>
                    <a:xfrm>
                      <a:off x="0" y="0"/>
                      <a:ext cx="5760720" cy="2839792"/>
                    </a:xfrm>
                    <a:prstGeom prst="rect"/>
                  </pic:spPr>
                </pic:pic>
              </a:graphicData>
            </a:graphic>
          </wp:inline>
        </w:drawing>
      </w:r>
    </w:p>
    <w:p>
      <w:pPr>
        <w:spacing w:after="200" w:before="0" w:line="276" w:lineRule="auto"/>
        <w:jc w:val="center"/>
      </w:pPr>
      <w:r>
        <w:rPr>
          <w:rFonts w:ascii="Calibri" w:hAnsi="Calibri" w:eastAsia="Calibri"/>
          <w:b w:val="0"/>
          <w:i/>
          <w:color w:val="57534E"/>
          <w:sz w:val="18"/>
        </w:rPr>
        <w:t>Counts from the owners’ sample of 150 quotes and jobs. Percentages recalculated from those counts.</w:t>
      </w:r>
    </w:p>
    <w:tbl>
      <w:tblPr>
        <w:tblW w:type="auto" w:w="0"/>
        <w:jc w:val="center"/>
        <w:tblLayout w:type="fixed"/>
        <w:tblLook w:firstColumn="1" w:firstRow="1" w:lastColumn="0" w:lastRow="0" w:noHBand="0" w:noVBand="1" w:val="04A0"/>
      </w:tblPr>
      <w:tblGrid>
        <w:gridCol w:w="3289"/>
        <w:gridCol w:w="3289"/>
        <w:gridCol w:w="3289"/>
      </w:tblGrid>
      <w:tr>
        <w:tc>
          <w:tcPr>
            <w:tcW w:type="dxa" w:w="5102"/>
            <w:tcBorders>
              <w:top w:val="single" w:sz="4" w:color="3D4A42"/>
              <w:bottom w:val="single" w:sz="4" w:color="3D4A42"/>
            </w:tcBorders>
            <w:shd w:fill="3D4A42" w:val="clear"/>
          </w:tcPr>
          <w:p>
            <w:r>
              <w:rPr>
                <w:rFonts w:ascii="Calibri" w:hAnsi="Calibri" w:eastAsia="Calibri"/>
                <w:b/>
                <w:i w:val="0"/>
                <w:color w:val="FFFFFF"/>
                <w:sz w:val="18"/>
              </w:rPr>
              <w:t>Referral source</w:t>
            </w:r>
          </w:p>
        </w:tc>
        <w:tc>
          <w:tcPr>
            <w:tcW w:type="dxa" w:w="1984"/>
            <w:tcBorders>
              <w:top w:val="single" w:sz="4" w:color="3D4A42"/>
              <w:bottom w:val="single" w:sz="4" w:color="3D4A42"/>
            </w:tcBorders>
            <w:shd w:fill="3D4A42" w:val="clear"/>
          </w:tcPr>
          <w:p>
            <w:r>
              <w:rPr>
                <w:rFonts w:ascii="Calibri" w:hAnsi="Calibri" w:eastAsia="Calibri"/>
                <w:b/>
                <w:i w:val="0"/>
                <w:color w:val="FFFFFF"/>
                <w:sz w:val="18"/>
              </w:rPr>
              <w:t>Jobs</w:t>
            </w:r>
          </w:p>
        </w:tc>
        <w:tc>
          <w:tcPr>
            <w:tcW w:type="dxa" w:w="2778"/>
            <w:tcBorders>
              <w:top w:val="single" w:sz="4" w:color="3D4A42"/>
              <w:bottom w:val="single" w:sz="4" w:color="3D4A42"/>
            </w:tcBorders>
            <w:shd w:fill="3D4A42" w:val="clear"/>
          </w:tcPr>
          <w:p>
            <w:r>
              <w:rPr>
                <w:rFonts w:ascii="Calibri" w:hAnsi="Calibri" w:eastAsia="Calibri"/>
                <w:b/>
                <w:i w:val="0"/>
                <w:color w:val="FFFFFF"/>
                <w:sz w:val="18"/>
              </w:rPr>
              <w:t>Share</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Independent Property Group</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55</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36.7%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Blackshaw</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15</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10.0%</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Ray White</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12</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8.0%</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McCann Properties</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12</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8.0%</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Francis Properties</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10</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6.7%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Altair Property</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5</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3.3%</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Edge</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4</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2.7%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Hive Property</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4</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2.7%</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Uniting / Community</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3</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2.0%</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LJ Hooker</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3</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2.0%</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Freelance agent and private</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3</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2.0%</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Raine &amp; Horne</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3</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2.0%</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Home by Holly</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3</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2.0%</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Rapport Property</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2</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1.3%</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Fuse Property</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2</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1.3%</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McIntyre Property</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2</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1.3%</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Corporate / builder / partner</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2</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1.3%</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Momentum</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2</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1.3%</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AM Property Agency</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The Parade</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GEOCON</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Wright Dunn</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Carter &amp; Co</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Verv</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FFFFF" w:val="clear"/>
          </w:tcPr>
          <w:p>
            <w:r>
              <w:rPr>
                <w:rFonts w:ascii="Calibri" w:hAnsi="Calibri" w:eastAsia="Calibri"/>
                <w:b w:val="0"/>
                <w:i w:val="0"/>
                <w:color w:val="2C2A28"/>
                <w:sz w:val="20"/>
              </w:rPr>
              <w:t>MARQ</w:t>
            </w:r>
          </w:p>
        </w:tc>
        <w:tc>
          <w:tcPr>
            <w:tcW w:type="dxa" w:w="1984"/>
            <w:tcBorders>
              <w:top w:val="single" w:sz="4" w:color="C4B8A5"/>
              <w:bottom w:val="single" w:sz="4" w:color="C4B8A5"/>
            </w:tcBorders>
            <w:shd w:fill="FFFFFF"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FFFFF"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3EEE6" w:val="clear"/>
          </w:tcPr>
          <w:p>
            <w:r>
              <w:rPr>
                <w:rFonts w:ascii="Calibri" w:hAnsi="Calibri" w:eastAsia="Calibri"/>
                <w:b w:val="0"/>
                <w:i w:val="0"/>
                <w:color w:val="2C2A28"/>
                <w:sz w:val="20"/>
              </w:rPr>
              <w:t>Sutton</w:t>
            </w:r>
          </w:p>
        </w:tc>
        <w:tc>
          <w:tcPr>
            <w:tcW w:type="dxa" w:w="1984"/>
            <w:tcBorders>
              <w:top w:val="single" w:sz="4" w:color="C4B8A5"/>
              <w:bottom w:val="single" w:sz="4" w:color="C4B8A5"/>
            </w:tcBorders>
            <w:shd w:fill="F3EEE6" w:val="clear"/>
          </w:tcPr>
          <w:p>
            <w:r>
              <w:rPr>
                <w:rFonts w:ascii="Calibri" w:hAnsi="Calibri" w:eastAsia="Calibri"/>
                <w:b w:val="0"/>
                <w:i w:val="0"/>
                <w:color w:val="2C2A28"/>
                <w:sz w:val="20"/>
              </w:rPr>
              <w:t>1</w:t>
            </w:r>
          </w:p>
        </w:tc>
        <w:tc>
          <w:tcPr>
            <w:tcW w:type="dxa" w:w="2778"/>
            <w:tcBorders>
              <w:top w:val="single" w:sz="4" w:color="C4B8A5"/>
              <w:bottom w:val="single" w:sz="4" w:color="C4B8A5"/>
            </w:tcBorders>
            <w:shd w:fill="F3EEE6" w:val="clear"/>
          </w:tcPr>
          <w:p>
            <w:r>
              <w:rPr>
                <w:rFonts w:ascii="Calibri" w:hAnsi="Calibri" w:eastAsia="Calibri"/>
                <w:b w:val="0"/>
                <w:i w:val="0"/>
                <w:color w:val="2C2A28"/>
                <w:sz w:val="20"/>
              </w:rPr>
              <w:t>0.7%</w:t>
            </w:r>
          </w:p>
        </w:tc>
      </w:tr>
      <w:tr>
        <w:tc>
          <w:tcPr>
            <w:tcW w:type="dxa" w:w="5102"/>
            <w:tcBorders>
              <w:top w:val="single" w:sz="4" w:color="C4B8A5"/>
              <w:bottom w:val="single" w:sz="4" w:color="C4B8A5"/>
            </w:tcBorders>
            <w:shd w:fill="FFFFFF" w:val="clear"/>
          </w:tcPr>
          <w:p>
            <w:r>
              <w:rPr>
                <w:rFonts w:ascii="Calibri" w:hAnsi="Calibri" w:eastAsia="Calibri"/>
                <w:b/>
                <w:i w:val="0"/>
                <w:color w:val="2C2A28"/>
                <w:sz w:val="20"/>
              </w:rPr>
              <w:t>Total</w:t>
            </w:r>
          </w:p>
        </w:tc>
        <w:tc>
          <w:tcPr>
            <w:tcW w:type="dxa" w:w="1984"/>
            <w:tcBorders>
              <w:top w:val="single" w:sz="4" w:color="C4B8A5"/>
              <w:bottom w:val="single" w:sz="4" w:color="C4B8A5"/>
            </w:tcBorders>
            <w:shd w:fill="FFFFFF" w:val="clear"/>
          </w:tcPr>
          <w:p>
            <w:r>
              <w:rPr>
                <w:rFonts w:ascii="Calibri" w:hAnsi="Calibri" w:eastAsia="Calibri"/>
                <w:b/>
                <w:i w:val="0"/>
                <w:color w:val="2C2A28"/>
                <w:sz w:val="20"/>
              </w:rPr>
              <w:t>150</w:t>
            </w:r>
          </w:p>
        </w:tc>
        <w:tc>
          <w:tcPr>
            <w:tcW w:type="dxa" w:w="2778"/>
            <w:tcBorders>
              <w:top w:val="single" w:sz="4" w:color="C4B8A5"/>
              <w:bottom w:val="single" w:sz="4" w:color="C4B8A5"/>
            </w:tcBorders>
            <w:shd w:fill="FFFFFF" w:val="clear"/>
          </w:tcPr>
          <w:p>
            <w:r>
              <w:rPr>
                <w:rFonts w:ascii="Calibri" w:hAnsi="Calibri" w:eastAsia="Calibri"/>
                <w:b/>
                <w:i w:val="0"/>
                <w:color w:val="2C2A28"/>
                <w:sz w:val="20"/>
              </w:rPr>
              <w:t>100%</w:t>
            </w:r>
          </w:p>
        </w:tc>
      </w:tr>
    </w:tbl>
    <w:p>
      <w:pPr>
        <w:spacing w:after="120"/>
      </w:pPr>
    </w:p>
    <w:p>
      <w:pPr>
        <w:spacing w:after="160" w:before="320" w:line="276" w:lineRule="auto"/>
        <w:jc w:val="left"/>
      </w:pPr>
      <w:r>
        <w:rPr>
          <w:rFonts w:ascii="Calibri" w:hAnsi="Calibri" w:eastAsia="Calibri"/>
          <w:b/>
          <w:i w:val="0"/>
          <w:color w:val="3D4A42"/>
          <w:sz w:val="36"/>
        </w:rPr>
        <w:t>3. Money</w:t>
      </w:r>
    </w:p>
    <w:p>
      <w:pPr>
        <w:spacing w:after="160" w:before="0" w:line="276" w:lineRule="auto"/>
        <w:jc w:val="both"/>
      </w:pPr>
      <w:r>
        <w:rPr>
          <w:rFonts w:ascii="Calibri" w:hAnsi="Calibri" w:eastAsia="Calibri"/>
          <w:b w:val="0"/>
          <w:i w:val="0"/>
          <w:color w:val="2C2A28"/>
          <w:sz w:val="22"/>
        </w:rPr>
        <w:t>Turnover reached $494,880 in FY2024. FY2025 fell to $349,411. The owners say that was fewer working days while family had babies, not a collapse in the stock or the agents. The reported loss of $126,029 includes depreciation of $66,253, interest of $25,680, bad debts of $20,655, and other items they treat as non-operating. On their add-backs, normalised EBITDA is about $26,209. A buyer will want the full P&amp;L, BAS and add-back file under due diligence. Nothing in this memorandum is a forecast.</w:t>
      </w:r>
    </w:p>
    <w:p>
      <w:pPr>
        <w:spacing w:before="120" w:after="80"/>
        <w:jc w:val="center"/>
      </w:pPr>
      <w:r>
        <w:drawing>
          <wp:inline xmlns:a="http://schemas.openxmlformats.org/drawingml/2006/main" xmlns:pic="http://schemas.openxmlformats.org/drawingml/2006/picture">
            <wp:extent cx="5760720" cy="2677518"/>
            <wp:docPr id="4" name="Picture 4"/>
            <wp:cNvGraphicFramePr>
              <a:graphicFrameLocks noChangeAspect="1"/>
            </wp:cNvGraphicFramePr>
            <a:graphic>
              <a:graphicData uri="http://schemas.openxmlformats.org/drawingml/2006/picture">
                <pic:pic>
                  <pic:nvPicPr>
                    <pic:cNvPr id="0" name="revenue.png"/>
                    <pic:cNvPicPr/>
                  </pic:nvPicPr>
                  <pic:blipFill>
                    <a:blip r:embed="rId13"/>
                    <a:stretch>
                      <a:fillRect/>
                    </a:stretch>
                  </pic:blipFill>
                  <pic:spPr>
                    <a:xfrm>
                      <a:off x="0" y="0"/>
                      <a:ext cx="5760720" cy="2677518"/>
                    </a:xfrm>
                    <a:prstGeom prst="rect"/>
                  </pic:spPr>
                </pic:pic>
              </a:graphicData>
            </a:graphic>
          </wp:inline>
        </w:drawing>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3118"/>
            <w:tcBorders>
              <w:top w:val="single" w:sz="4" w:color="3D4A42"/>
              <w:bottom w:val="single" w:sz="4" w:color="3D4A42"/>
            </w:tcBorders>
            <w:shd w:fill="3D4A42" w:val="clear"/>
          </w:tcPr>
          <w:p>
            <w:r>
              <w:rPr>
                <w:rFonts w:ascii="Calibri" w:hAnsi="Calibri" w:eastAsia="Calibri"/>
                <w:b/>
                <w:i w:val="0"/>
                <w:color w:val="FFFFFF"/>
                <w:sz w:val="18"/>
              </w:rPr>
            </w:r>
          </w:p>
        </w:tc>
        <w:tc>
          <w:tcPr>
            <w:tcW w:type="dxa" w:w="2211"/>
            <w:tcBorders>
              <w:top w:val="single" w:sz="4" w:color="3D4A42"/>
              <w:bottom w:val="single" w:sz="4" w:color="3D4A42"/>
            </w:tcBorders>
            <w:shd w:fill="3D4A42" w:val="clear"/>
          </w:tcPr>
          <w:p>
            <w:r>
              <w:rPr>
                <w:rFonts w:ascii="Calibri" w:hAnsi="Calibri" w:eastAsia="Calibri"/>
                <w:b/>
                <w:i w:val="0"/>
                <w:color w:val="FFFFFF"/>
                <w:sz w:val="18"/>
              </w:rPr>
              <w:t>FY2023</w:t>
            </w:r>
          </w:p>
        </w:tc>
        <w:tc>
          <w:tcPr>
            <w:tcW w:type="dxa" w:w="2211"/>
            <w:tcBorders>
              <w:top w:val="single" w:sz="4" w:color="3D4A42"/>
              <w:bottom w:val="single" w:sz="4" w:color="3D4A42"/>
            </w:tcBorders>
            <w:shd w:fill="3D4A42" w:val="clear"/>
          </w:tcPr>
          <w:p>
            <w:r>
              <w:rPr>
                <w:rFonts w:ascii="Calibri" w:hAnsi="Calibri" w:eastAsia="Calibri"/>
                <w:b/>
                <w:i w:val="0"/>
                <w:color w:val="FFFFFF"/>
                <w:sz w:val="18"/>
              </w:rPr>
              <w:t>FY2024</w:t>
            </w:r>
          </w:p>
        </w:tc>
        <w:tc>
          <w:tcPr>
            <w:tcW w:type="dxa" w:w="2324"/>
            <w:tcBorders>
              <w:top w:val="single" w:sz="4" w:color="3D4A42"/>
              <w:bottom w:val="single" w:sz="4" w:color="3D4A42"/>
            </w:tcBorders>
            <w:shd w:fill="3D4A42" w:val="clear"/>
          </w:tcPr>
          <w:p>
            <w:r>
              <w:rPr>
                <w:rFonts w:ascii="Calibri" w:hAnsi="Calibri" w:eastAsia="Calibri"/>
                <w:b/>
                <w:i w:val="0"/>
                <w:color w:val="FFFFFF"/>
                <w:sz w:val="18"/>
              </w:rPr>
              <w:t>FY2025</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Income</w:t>
            </w:r>
          </w:p>
        </w:tc>
        <w:tc>
          <w:tcPr>
            <w:tcW w:type="dxa" w:w="2211"/>
            <w:tcBorders>
              <w:top w:val="single" w:sz="4" w:color="C4B8A5"/>
              <w:bottom w:val="single" w:sz="4" w:color="C4B8A5"/>
            </w:tcBorders>
            <w:shd w:fill="FFFFFF" w:val="clear"/>
          </w:tcPr>
          <w:p>
            <w:r>
              <w:rPr>
                <w:rFonts w:ascii="Calibri" w:hAnsi="Calibri" w:eastAsia="Calibri"/>
                <w:b w:val="0"/>
                <w:i w:val="0"/>
                <w:color w:val="2C2A28"/>
                <w:sz w:val="20"/>
              </w:rPr>
              <w:t>$423,175</w:t>
            </w:r>
          </w:p>
        </w:tc>
        <w:tc>
          <w:tcPr>
            <w:tcW w:type="dxa" w:w="2211"/>
            <w:tcBorders>
              <w:top w:val="single" w:sz="4" w:color="C4B8A5"/>
              <w:bottom w:val="single" w:sz="4" w:color="C4B8A5"/>
            </w:tcBorders>
            <w:shd w:fill="FFFFFF" w:val="clear"/>
          </w:tcPr>
          <w:p>
            <w:r>
              <w:rPr>
                <w:rFonts w:ascii="Calibri" w:hAnsi="Calibri" w:eastAsia="Calibri"/>
                <w:b w:val="0"/>
                <w:i w:val="0"/>
                <w:color w:val="2C2A28"/>
                <w:sz w:val="20"/>
              </w:rPr>
              <w:t>$494,880</w:t>
            </w:r>
          </w:p>
        </w:tc>
        <w:tc>
          <w:tcPr>
            <w:tcW w:type="dxa" w:w="2324"/>
            <w:tcBorders>
              <w:top w:val="single" w:sz="4" w:color="C4B8A5"/>
              <w:bottom w:val="single" w:sz="4" w:color="C4B8A5"/>
            </w:tcBorders>
            <w:shd w:fill="FFFFFF" w:val="clear"/>
          </w:tcPr>
          <w:p>
            <w:r>
              <w:rPr>
                <w:rFonts w:ascii="Calibri" w:hAnsi="Calibri" w:eastAsia="Calibri"/>
                <w:b w:val="0"/>
                <w:i w:val="0"/>
                <w:color w:val="2C2A28"/>
                <w:sz w:val="20"/>
              </w:rPr>
              <w:t>$349,411</w:t>
            </w:r>
          </w:p>
        </w:tc>
      </w:tr>
      <w:tr>
        <w:tc>
          <w:tcPr>
            <w:tcW w:type="dxa" w:w="3118"/>
            <w:tcBorders>
              <w:top w:val="single" w:sz="4" w:color="C4B8A5"/>
              <w:bottom w:val="single" w:sz="4" w:color="C4B8A5"/>
            </w:tcBorders>
            <w:shd w:fill="F3EEE6" w:val="clear"/>
          </w:tcPr>
          <w:p>
            <w:r>
              <w:rPr>
                <w:rFonts w:ascii="Calibri" w:hAnsi="Calibri" w:eastAsia="Calibri"/>
                <w:b w:val="0"/>
                <w:i w:val="0"/>
                <w:color w:val="2C2A28"/>
                <w:sz w:val="20"/>
              </w:rPr>
              <w:t>Plant and equipment (cost)</w:t>
            </w:r>
          </w:p>
        </w:tc>
        <w:tc>
          <w:tcPr>
            <w:tcW w:type="dxa" w:w="2211"/>
            <w:tcBorders>
              <w:top w:val="single" w:sz="4" w:color="C4B8A5"/>
              <w:bottom w:val="single" w:sz="4" w:color="C4B8A5"/>
            </w:tcBorders>
            <w:shd w:fill="F3EEE6" w:val="clear"/>
          </w:tcPr>
          <w:p>
            <w:r>
              <w:rPr>
                <w:rFonts w:ascii="Calibri" w:hAnsi="Calibri" w:eastAsia="Calibri"/>
                <w:b w:val="0"/>
                <w:i w:val="0"/>
                <w:color w:val="2C2A28"/>
                <w:sz w:val="20"/>
              </w:rPr>
              <w:t>$344,839</w:t>
            </w:r>
          </w:p>
        </w:tc>
        <w:tc>
          <w:tcPr>
            <w:tcW w:type="dxa" w:w="2211"/>
            <w:tcBorders>
              <w:top w:val="single" w:sz="4" w:color="C4B8A5"/>
              <w:bottom w:val="single" w:sz="4" w:color="C4B8A5"/>
            </w:tcBorders>
            <w:shd w:fill="F3EEE6" w:val="clear"/>
          </w:tcPr>
          <w:p>
            <w:r>
              <w:rPr>
                <w:rFonts w:ascii="Calibri" w:hAnsi="Calibri" w:eastAsia="Calibri"/>
                <w:b w:val="0"/>
                <w:i w:val="0"/>
                <w:color w:val="2C2A28"/>
                <w:sz w:val="20"/>
              </w:rPr>
              <w:t>$414,165</w:t>
            </w:r>
          </w:p>
        </w:tc>
        <w:tc>
          <w:tcPr>
            <w:tcW w:type="dxa" w:w="2324"/>
            <w:tcBorders>
              <w:top w:val="single" w:sz="4" w:color="C4B8A5"/>
              <w:bottom w:val="single" w:sz="4" w:color="C4B8A5"/>
            </w:tcBorders>
            <w:shd w:fill="F3EEE6" w:val="clear"/>
          </w:tcPr>
          <w:p>
            <w:r>
              <w:rPr>
                <w:rFonts w:ascii="Calibri" w:hAnsi="Calibri" w:eastAsia="Calibri"/>
                <w:b w:val="0"/>
                <w:i w:val="0"/>
                <w:color w:val="2C2A28"/>
                <w:sz w:val="20"/>
              </w:rPr>
              <w:t>$416,495</w:t>
            </w:r>
          </w:p>
        </w:tc>
      </w:tr>
      <w:tr>
        <w:tc>
          <w:tcPr>
            <w:tcW w:type="dxa" w:w="3118"/>
            <w:tcBorders>
              <w:top w:val="single" w:sz="4" w:color="C4B8A5"/>
              <w:bottom w:val="single" w:sz="4" w:color="C4B8A5"/>
            </w:tcBorders>
            <w:shd w:fill="FFFFFF" w:val="clear"/>
          </w:tcPr>
          <w:p>
            <w:r>
              <w:rPr>
                <w:rFonts w:ascii="Calibri" w:hAnsi="Calibri" w:eastAsia="Calibri"/>
                <w:b w:val="0"/>
                <w:i w:val="0"/>
                <w:color w:val="2C2A28"/>
                <w:sz w:val="20"/>
              </w:rPr>
              <w:t>Minor plant expensed</w:t>
            </w:r>
          </w:p>
        </w:tc>
        <w:tc>
          <w:tcPr>
            <w:tcW w:type="dxa" w:w="2211"/>
            <w:tcBorders>
              <w:top w:val="single" w:sz="4" w:color="C4B8A5"/>
              <w:bottom w:val="single" w:sz="4" w:color="C4B8A5"/>
            </w:tcBorders>
            <w:shd w:fill="FFFFFF" w:val="clear"/>
          </w:tcPr>
          <w:p>
            <w:r>
              <w:rPr>
                <w:rFonts w:ascii="Calibri" w:hAnsi="Calibri" w:eastAsia="Calibri"/>
                <w:b w:val="0"/>
                <w:i w:val="0"/>
                <w:color w:val="2C2A28"/>
                <w:sz w:val="20"/>
              </w:rPr>
              <w:t>—</w:t>
            </w:r>
          </w:p>
        </w:tc>
        <w:tc>
          <w:tcPr>
            <w:tcW w:type="dxa" w:w="2211"/>
            <w:tcBorders>
              <w:top w:val="single" w:sz="4" w:color="C4B8A5"/>
              <w:bottom w:val="single" w:sz="4" w:color="C4B8A5"/>
            </w:tcBorders>
            <w:shd w:fill="FFFFFF" w:val="clear"/>
          </w:tcPr>
          <w:p>
            <w:r>
              <w:rPr>
                <w:rFonts w:ascii="Calibri" w:hAnsi="Calibri" w:eastAsia="Calibri"/>
                <w:b w:val="0"/>
                <w:i w:val="0"/>
                <w:color w:val="2C2A28"/>
                <w:sz w:val="20"/>
              </w:rPr>
              <w:t>$20,378</w:t>
            </w:r>
          </w:p>
        </w:tc>
        <w:tc>
          <w:tcPr>
            <w:tcW w:type="dxa" w:w="2324"/>
            <w:tcBorders>
              <w:top w:val="single" w:sz="4" w:color="C4B8A5"/>
              <w:bottom w:val="single" w:sz="4" w:color="C4B8A5"/>
            </w:tcBorders>
            <w:shd w:fill="FFFFFF" w:val="clear"/>
          </w:tcPr>
          <w:p>
            <w:r>
              <w:rPr>
                <w:rFonts w:ascii="Calibri" w:hAnsi="Calibri" w:eastAsia="Calibri"/>
                <w:b w:val="0"/>
                <w:i w:val="0"/>
                <w:color w:val="2C2A28"/>
                <w:sz w:val="20"/>
              </w:rPr>
              <w:t>$13,146</w:t>
            </w:r>
          </w:p>
        </w:tc>
      </w:tr>
    </w:tbl>
    <w:p>
      <w:pPr>
        <w:spacing w:after="120"/>
      </w:pPr>
    </w:p>
    <w:p>
      <w:pPr>
        <w:spacing w:after="160" w:before="0" w:line="276" w:lineRule="auto"/>
        <w:jc w:val="both"/>
      </w:pPr>
      <w:r>
        <w:rPr>
          <w:rFonts w:ascii="Calibri" w:hAnsi="Calibri" w:eastAsia="Calibri"/>
          <w:b w:val="0"/>
          <w:i w:val="0"/>
          <w:color w:val="2C2A28"/>
          <w:sz w:val="22"/>
        </w:rPr>
        <w:t>Plant and equipment on the books rose by about $69,000 in FY2024 as stock was refreshed. Minor items were also expensed. The owners’ point is fair: a buyer is not starting from an empty warehouse. The stock is there, including pieces that suit older Canberra houses as well as newer ones. Utilisation is the lever. FY2024 shows what the same shed can do when it is busy. FY2025 shows what happens when the owner is not.</w:t>
      </w:r>
    </w:p>
    <w:p>
      <w:pPr>
        <w:spacing w:after="160" w:before="0" w:line="276" w:lineRule="auto"/>
        <w:jc w:val="both"/>
      </w:pPr>
      <w:r>
        <w:rPr>
          <w:rFonts w:ascii="Calibri" w:hAnsi="Calibri" w:eastAsia="Calibri"/>
          <w:b w:val="0"/>
          <w:i w:val="0"/>
          <w:color w:val="2C2A28"/>
          <w:sz w:val="22"/>
        </w:rPr>
        <w:t>The asking price is $500,000. At that number, last year’s normalised earnings are not the story. Replacement cost of the inventory and vehicles, a live book of work, and the cost of not having to assemble a 444 m² operation from scratch — that is the story a purchaser should test in due diligence.</w:t>
      </w:r>
    </w:p>
    <w:p>
      <w:pPr>
        <w:spacing w:after="160" w:before="320" w:line="276" w:lineRule="auto"/>
        <w:jc w:val="left"/>
      </w:pPr>
      <w:r>
        <w:rPr>
          <w:rFonts w:ascii="Calibri" w:hAnsi="Calibri" w:eastAsia="Calibri"/>
          <w:b/>
          <w:i w:val="0"/>
          <w:color w:val="3D4A42"/>
          <w:sz w:val="36"/>
        </w:rPr>
        <w:t>4. The shed and the truck</w:t>
      </w:r>
    </w:p>
    <w:p>
      <w:pPr>
        <w:spacing w:after="160" w:before="0" w:line="276" w:lineRule="auto"/>
        <w:jc w:val="both"/>
      </w:pPr>
      <w:r>
        <w:rPr>
          <w:rFonts w:ascii="Calibri" w:hAnsi="Calibri" w:eastAsia="Calibri"/>
          <w:b w:val="0"/>
          <w:i w:val="0"/>
          <w:color w:val="2C2A28"/>
          <w:sz w:val="22"/>
        </w:rPr>
        <w:t>Operations run from a 444 m² warehouse in Queanbeyan. Secure storage, picking, and staging before a job goes out. A purpose-built Hino furniture truck does installs and collections. Two other vehicles cover quotes and site visits. Documented quoting, scheduling and inventory allocation sit behind that. The owners put concurrent capacity at about 37 homes. In mid-September 2026, 19 were out. A mixed book of older and newer houses is what makes the top end realistic — not every lounge in the rack is modern.</w:t>
      </w:r>
    </w:p>
    <w:tbl>
      <w:tblPr>
        <w:tblW w:type="auto" w:w="0"/>
        <w:tblLayout w:type="fixed"/>
        <w:tblLook w:firstColumn="1" w:firstRow="1" w:lastColumn="0" w:lastRow="0" w:noHBand="0" w:noVBand="1" w:val="04A0"/>
      </w:tblPr>
      <w:tblGrid>
        <w:gridCol w:w="4933"/>
        <w:gridCol w:w="4933"/>
      </w:tblGrid>
      <w:tr>
        <w:tc>
          <w:tcPr>
            <w:tcW w:type="dxa" w:w="4876"/>
          </w:tcPr>
          <w:p>
            <w:pPr>
              <w:jc w:val="center"/>
            </w:pPr>
            <w:r>
              <w:drawing>
                <wp:inline xmlns:a="http://schemas.openxmlformats.org/drawingml/2006/main" xmlns:pic="http://schemas.openxmlformats.org/drawingml/2006/picture">
                  <wp:extent cx="3017520" cy="1476573"/>
                  <wp:docPr id="5" name="Picture 5"/>
                  <wp:cNvGraphicFramePr>
                    <a:graphicFrameLocks noChangeAspect="1"/>
                  </wp:cNvGraphicFramePr>
                  <a:graphic>
                    <a:graphicData uri="http://schemas.openxmlformats.org/drawingml/2006/picture">
                      <pic:pic>
                        <pic:nvPicPr>
                          <pic:cNvPr id="0" name="epsbanner1.jpg"/>
                          <pic:cNvPicPr/>
                        </pic:nvPicPr>
                        <pic:blipFill>
                          <a:blip r:embed="rId14"/>
                          <a:stretch>
                            <a:fillRect/>
                          </a:stretch>
                        </pic:blipFill>
                        <pic:spPr>
                          <a:xfrm>
                            <a:off x="0" y="0"/>
                            <a:ext cx="3017520" cy="1476573"/>
                          </a:xfrm>
                          <a:prstGeom prst="rect"/>
                        </pic:spPr>
                      </pic:pic>
                    </a:graphicData>
                  </a:graphic>
                </wp:inline>
              </w:drawing>
            </w:r>
          </w:p>
        </w:tc>
        <w:tc>
          <w:tcPr>
            <w:tcW w:type="dxa" w:w="4876"/>
          </w:tcPr>
          <w:p>
            <w:pPr>
              <w:jc w:val="center"/>
            </w:pPr>
            <w:r>
              <w:drawing>
                <wp:inline xmlns:a="http://schemas.openxmlformats.org/drawingml/2006/main" xmlns:pic="http://schemas.openxmlformats.org/drawingml/2006/picture">
                  <wp:extent cx="3017520" cy="1476573"/>
                  <wp:docPr id="6" name="Picture 6"/>
                  <wp:cNvGraphicFramePr>
                    <a:graphicFrameLocks noChangeAspect="1"/>
                  </wp:cNvGraphicFramePr>
                  <a:graphic>
                    <a:graphicData uri="http://schemas.openxmlformats.org/drawingml/2006/picture">
                      <pic:pic>
                        <pic:nvPicPr>
                          <pic:cNvPr id="0" name="epsbanner2.jpg"/>
                          <pic:cNvPicPr/>
                        </pic:nvPicPr>
                        <pic:blipFill>
                          <a:blip r:embed="rId15"/>
                          <a:stretch>
                            <a:fillRect/>
                          </a:stretch>
                        </pic:blipFill>
                        <pic:spPr>
                          <a:xfrm>
                            <a:off x="0" y="0"/>
                            <a:ext cx="3017520" cy="1476573"/>
                          </a:xfrm>
                          <a:prstGeom prst="rect"/>
                        </pic:spPr>
                      </pic:pic>
                    </a:graphicData>
                  </a:graphic>
                </wp:inline>
              </w:drawing>
            </w:r>
          </w:p>
        </w:tc>
      </w:tr>
    </w:tbl>
    <w:p>
      <w:pPr>
        <w:spacing w:after="160"/>
      </w:pPr>
    </w:p>
    <w:tbl>
      <w:tblPr>
        <w:tblW w:type="auto" w:w="0"/>
        <w:tblLayout w:type="fixed"/>
        <w:tblLook w:firstColumn="1" w:firstRow="1" w:lastColumn="0" w:lastRow="0" w:noHBand="0" w:noVBand="1" w:val="04A0"/>
      </w:tblPr>
      <w:tblGrid>
        <w:gridCol w:w="4933"/>
        <w:gridCol w:w="4933"/>
      </w:tblGrid>
      <w:tr>
        <w:tc>
          <w:tcPr>
            <w:tcW w:type="dxa" w:w="4876"/>
          </w:tcPr>
          <w:p>
            <w:pPr>
              <w:jc w:val="center"/>
            </w:pPr>
            <w:r>
              <w:drawing>
                <wp:inline xmlns:a="http://schemas.openxmlformats.org/drawingml/2006/main" xmlns:pic="http://schemas.openxmlformats.org/drawingml/2006/picture">
                  <wp:extent cx="3017520" cy="1476573"/>
                  <wp:docPr id="7" name="Picture 7"/>
                  <wp:cNvGraphicFramePr>
                    <a:graphicFrameLocks noChangeAspect="1"/>
                  </wp:cNvGraphicFramePr>
                  <a:graphic>
                    <a:graphicData uri="http://schemas.openxmlformats.org/drawingml/2006/picture">
                      <pic:pic>
                        <pic:nvPicPr>
                          <pic:cNvPr id="0" name="epsbanner3.jpg"/>
                          <pic:cNvPicPr/>
                        </pic:nvPicPr>
                        <pic:blipFill>
                          <a:blip r:embed="rId16"/>
                          <a:stretch>
                            <a:fillRect/>
                          </a:stretch>
                        </pic:blipFill>
                        <pic:spPr>
                          <a:xfrm>
                            <a:off x="0" y="0"/>
                            <a:ext cx="3017520" cy="1476573"/>
                          </a:xfrm>
                          <a:prstGeom prst="rect"/>
                        </pic:spPr>
                      </pic:pic>
                    </a:graphicData>
                  </a:graphic>
                </wp:inline>
              </w:drawing>
            </w:r>
          </w:p>
        </w:tc>
        <w:tc>
          <w:tcPr>
            <w:tcW w:type="dxa" w:w="4876"/>
          </w:tcPr>
          <w:p>
            <w:pPr>
              <w:jc w:val="center"/>
            </w:pPr>
            <w:r>
              <w:drawing>
                <wp:inline xmlns:a="http://schemas.openxmlformats.org/drawingml/2006/main" xmlns:pic="http://schemas.openxmlformats.org/drawingml/2006/picture">
                  <wp:extent cx="3017520" cy="1476573"/>
                  <wp:docPr id="8" name="Picture 8"/>
                  <wp:cNvGraphicFramePr>
                    <a:graphicFrameLocks noChangeAspect="1"/>
                  </wp:cNvGraphicFramePr>
                  <a:graphic>
                    <a:graphicData uri="http://schemas.openxmlformats.org/drawingml/2006/picture">
                      <pic:pic>
                        <pic:nvPicPr>
                          <pic:cNvPr id="0" name="epsbanner4.jpg"/>
                          <pic:cNvPicPr/>
                        </pic:nvPicPr>
                        <pic:blipFill>
                          <a:blip r:embed="rId17"/>
                          <a:stretch>
                            <a:fillRect/>
                          </a:stretch>
                        </pic:blipFill>
                        <pic:spPr>
                          <a:xfrm>
                            <a:off x="0" y="0"/>
                            <a:ext cx="3017520" cy="1476573"/>
                          </a:xfrm>
                          <a:prstGeom prst="rect"/>
                        </pic:spPr>
                      </pic:pic>
                    </a:graphicData>
                  </a:graphic>
                </wp:inline>
              </w:drawing>
            </w:r>
          </w:p>
        </w:tc>
      </w:tr>
    </w:tbl>
    <w:p>
      <w:pPr>
        <w:spacing w:after="160"/>
      </w:pPr>
    </w:p>
    <w:p>
      <w:pPr>
        <w:spacing w:before="120" w:after="80"/>
        <w:jc w:val="center"/>
      </w:pPr>
      <w:r>
        <w:drawing>
          <wp:inline xmlns:a="http://schemas.openxmlformats.org/drawingml/2006/main" xmlns:pic="http://schemas.openxmlformats.org/drawingml/2006/picture">
            <wp:extent cx="5852160" cy="2863657"/>
            <wp:docPr id="9" name="Picture 9"/>
            <wp:cNvGraphicFramePr>
              <a:graphicFrameLocks noChangeAspect="1"/>
            </wp:cNvGraphicFramePr>
            <a:graphic>
              <a:graphicData uri="http://schemas.openxmlformats.org/drawingml/2006/picture">
                <pic:pic>
                  <pic:nvPicPr>
                    <pic:cNvPr id="0" name="epsbanner5.jpg"/>
                    <pic:cNvPicPr/>
                  </pic:nvPicPr>
                  <pic:blipFill>
                    <a:blip r:embed="rId18"/>
                    <a:stretch>
                      <a:fillRect/>
                    </a:stretch>
                  </pic:blipFill>
                  <pic:spPr>
                    <a:xfrm>
                      <a:off x="0" y="0"/>
                      <a:ext cx="5852160" cy="2863657"/>
                    </a:xfrm>
                    <a:prstGeom prst="rect"/>
                  </pic:spPr>
                </pic:pic>
              </a:graphicData>
            </a:graphic>
          </wp:inline>
        </w:drawing>
      </w:r>
    </w:p>
    <w:p>
      <w:pPr>
        <w:spacing w:after="200" w:before="0" w:line="276" w:lineRule="auto"/>
        <w:jc w:val="center"/>
      </w:pPr>
      <w:r>
        <w:rPr>
          <w:rFonts w:ascii="Calibri" w:hAnsi="Calibri" w:eastAsia="Calibri"/>
          <w:b w:val="0"/>
          <w:i/>
          <w:color w:val="57534E"/>
          <w:sz w:val="18"/>
        </w:rPr>
        <w:t>Recent campaign work from the Elements website.</w:t>
      </w:r>
    </w:p>
    <w:p>
      <w:pPr>
        <w:spacing w:after="160" w:before="320" w:line="276" w:lineRule="auto"/>
        <w:jc w:val="left"/>
      </w:pPr>
      <w:r>
        <w:rPr>
          <w:rFonts w:ascii="Calibri" w:hAnsi="Calibri" w:eastAsia="Calibri"/>
          <w:b/>
          <w:i w:val="0"/>
          <w:color w:val="3D4A42"/>
          <w:sz w:val="36"/>
        </w:rPr>
        <w:t>5. Services</w:t>
      </w:r>
    </w:p>
    <w:p>
      <w:pPr>
        <w:spacing w:after="160" w:before="0" w:line="276" w:lineRule="auto"/>
        <w:jc w:val="both"/>
      </w:pPr>
      <w:r>
        <w:rPr>
          <w:rFonts w:ascii="Calibri" w:hAnsi="Calibri" w:eastAsia="Calibri"/>
          <w:b w:val="0"/>
          <w:i w:val="0"/>
          <w:color w:val="2C2A28"/>
          <w:sz w:val="22"/>
        </w:rPr>
        <w:t>The same warehouse, truck and stock support every offer. Nothing below needs a second business to exist.</w:t>
      </w:r>
    </w:p>
    <w:p>
      <w:pPr>
        <w:pStyle w:val="ListBullet"/>
        <w:spacing w:after="60" w:before="0"/>
      </w:pPr>
      <w:r>
        <w:rPr>
          <w:rFonts w:ascii="Calibri" w:hAnsi="Calibri" w:eastAsia="Calibri"/>
          <w:b w:val="0"/>
          <w:i w:val="0"/>
          <w:color w:val="2C2A28"/>
          <w:sz w:val="22"/>
        </w:rPr>
        <w:t>Full styling for vacant or emptied homes — consult, specify, deliver, install, manage the campaign, collect.</w:t>
      </w:r>
    </w:p>
    <w:p>
      <w:pPr>
        <w:pStyle w:val="ListBullet"/>
        <w:spacing w:after="60" w:before="0"/>
      </w:pPr>
      <w:r>
        <w:rPr>
          <w:rFonts w:ascii="Calibri" w:hAnsi="Calibri" w:eastAsia="Calibri"/>
          <w:b w:val="0"/>
          <w:i w:val="0"/>
          <w:color w:val="2C2A28"/>
          <w:sz w:val="22"/>
        </w:rPr>
        <w:t>Partial styling, using what the vendor already has and filling the gaps.</w:t>
      </w:r>
    </w:p>
    <w:p>
      <w:pPr>
        <w:pStyle w:val="ListBullet"/>
        <w:spacing w:after="60" w:before="0"/>
      </w:pPr>
      <w:r>
        <w:rPr>
          <w:rFonts w:ascii="Calibri" w:hAnsi="Calibri" w:eastAsia="Calibri"/>
          <w:b w:val="0"/>
          <w:i w:val="0"/>
          <w:color w:val="2C2A28"/>
          <w:sz w:val="22"/>
        </w:rPr>
        <w:t>Consultations: placement, clutter, colour, lighting, what to pack away before photos.</w:t>
      </w:r>
    </w:p>
    <w:p>
      <w:pPr>
        <w:pStyle w:val="ListBullet"/>
        <w:spacing w:after="60" w:before="0"/>
      </w:pPr>
      <w:r>
        <w:rPr>
          <w:rFonts w:ascii="Calibri" w:hAnsi="Calibri" w:eastAsia="Calibri"/>
          <w:b w:val="0"/>
          <w:i w:val="0"/>
          <w:color w:val="2C2A28"/>
          <w:sz w:val="22"/>
        </w:rPr>
        <w:t>Style to Stay — living-in packages, and sometimes a furniture package that can stay with the purchaser.</w:t>
      </w:r>
    </w:p>
    <w:p>
      <w:pPr>
        <w:pStyle w:val="ListBullet"/>
        <w:spacing w:after="60" w:before="0"/>
      </w:pPr>
      <w:r>
        <w:rPr>
          <w:rFonts w:ascii="Calibri" w:hAnsi="Calibri" w:eastAsia="Calibri"/>
          <w:b w:val="0"/>
          <w:i w:val="0"/>
          <w:color w:val="2C2A28"/>
          <w:sz w:val="22"/>
        </w:rPr>
        <w:t>Display homes, apartments and marketing suites for builders and developers.</w:t>
      </w:r>
    </w:p>
    <w:tbl>
      <w:tblPr>
        <w:tblW w:type="auto" w:w="0"/>
        <w:tblLayout w:type="fixed"/>
        <w:tblLook w:firstColumn="1" w:firstRow="1" w:lastColumn="0" w:lastRow="0" w:noHBand="0" w:noVBand="1" w:val="04A0"/>
      </w:tblPr>
      <w:tblGrid>
        <w:gridCol w:w="4933"/>
        <w:gridCol w:w="4933"/>
      </w:tblGrid>
      <w:tr>
        <w:tc>
          <w:tcPr>
            <w:tcW w:type="dxa" w:w="4876"/>
          </w:tcPr>
          <w:p>
            <w:pPr>
              <w:jc w:val="center"/>
            </w:pPr>
            <w:r>
              <w:drawing>
                <wp:inline xmlns:a="http://schemas.openxmlformats.org/drawingml/2006/main" xmlns:pic="http://schemas.openxmlformats.org/drawingml/2006/picture">
                  <wp:extent cx="2880360" cy="2749585"/>
                  <wp:docPr id="10" name="Picture 10"/>
                  <wp:cNvGraphicFramePr>
                    <a:graphicFrameLocks noChangeAspect="1"/>
                  </wp:cNvGraphicFramePr>
                  <a:graphic>
                    <a:graphicData uri="http://schemas.openxmlformats.org/drawingml/2006/picture">
                      <pic:pic>
                        <pic:nvPicPr>
                          <pic:cNvPr id="0" name="complete_package.jpg"/>
                          <pic:cNvPicPr/>
                        </pic:nvPicPr>
                        <pic:blipFill>
                          <a:blip r:embed="rId19"/>
                          <a:stretch>
                            <a:fillRect/>
                          </a:stretch>
                        </pic:blipFill>
                        <pic:spPr>
                          <a:xfrm>
                            <a:off x="0" y="0"/>
                            <a:ext cx="2880360" cy="2749585"/>
                          </a:xfrm>
                          <a:prstGeom prst="rect"/>
                        </pic:spPr>
                      </pic:pic>
                    </a:graphicData>
                  </a:graphic>
                </wp:inline>
              </w:drawing>
            </w:r>
          </w:p>
        </w:tc>
        <w:tc>
          <w:tcPr>
            <w:tcW w:type="dxa" w:w="4876"/>
          </w:tcPr>
          <w:p>
            <w:pPr>
              <w:jc w:val="center"/>
            </w:pPr>
            <w:r>
              <w:drawing>
                <wp:inline xmlns:a="http://schemas.openxmlformats.org/drawingml/2006/main" xmlns:pic="http://schemas.openxmlformats.org/drawingml/2006/picture">
                  <wp:extent cx="2880360" cy="2749585"/>
                  <wp:docPr id="11" name="Picture 11"/>
                  <wp:cNvGraphicFramePr>
                    <a:graphicFrameLocks noChangeAspect="1"/>
                  </wp:cNvGraphicFramePr>
                  <a:graphic>
                    <a:graphicData uri="http://schemas.openxmlformats.org/drawingml/2006/picture">
                      <pic:pic>
                        <pic:nvPicPr>
                          <pic:cNvPr id="0" name="consultation.jpg"/>
                          <pic:cNvPicPr/>
                        </pic:nvPicPr>
                        <pic:blipFill>
                          <a:blip r:embed="rId20"/>
                          <a:stretch>
                            <a:fillRect/>
                          </a:stretch>
                        </pic:blipFill>
                        <pic:spPr>
                          <a:xfrm>
                            <a:off x="0" y="0"/>
                            <a:ext cx="2880360" cy="2749585"/>
                          </a:xfrm>
                          <a:prstGeom prst="rect"/>
                        </pic:spPr>
                      </pic:pic>
                    </a:graphicData>
                  </a:graphic>
                </wp:inline>
              </w:drawing>
            </w:r>
          </w:p>
        </w:tc>
      </w:tr>
    </w:tbl>
    <w:p>
      <w:pPr>
        <w:spacing w:after="160"/>
      </w:pPr>
    </w:p>
    <w:p>
      <w:pPr>
        <w:spacing w:after="160" w:before="0" w:line="276" w:lineRule="auto"/>
        <w:jc w:val="center"/>
      </w:pPr>
      <w:r>
        <w:rPr>
          <w:rFonts w:ascii="Calibri" w:hAnsi="Calibri" w:eastAsia="Calibri"/>
          <w:b w:val="0"/>
          <w:i/>
          <w:color w:val="57534E"/>
          <w:sz w:val="18"/>
        </w:rPr>
        <w:t>Service tiles from the current website — full styling and consultation.</w:t>
      </w:r>
    </w:p>
    <w:tbl>
      <w:tblPr>
        <w:tblW w:type="auto" w:w="0"/>
        <w:jc w:val="center"/>
        <w:tblLayout w:type="fixed"/>
        <w:tblLook w:firstColumn="1" w:firstRow="1" w:lastColumn="0" w:lastRow="0" w:noHBand="0" w:noVBand="1" w:val="04A0"/>
      </w:tblPr>
      <w:tblGrid>
        <w:gridCol w:w="3289"/>
        <w:gridCol w:w="3289"/>
        <w:gridCol w:w="3289"/>
      </w:tblGrid>
      <w:tr>
        <w:tc>
          <w:tcPr>
            <w:tcW w:type="dxa" w:w="2551"/>
            <w:tcBorders>
              <w:top w:val="single" w:sz="4" w:color="3D4A42"/>
              <w:bottom w:val="single" w:sz="4" w:color="3D4A42"/>
            </w:tcBorders>
            <w:shd w:fill="3D4A42" w:val="clear"/>
          </w:tcPr>
          <w:p>
            <w:r>
              <w:rPr>
                <w:rFonts w:ascii="Calibri" w:hAnsi="Calibri" w:eastAsia="Calibri"/>
                <w:b/>
                <w:i w:val="0"/>
                <w:color w:val="FFFFFF"/>
                <w:sz w:val="18"/>
              </w:rPr>
              <w:t>Property</w:t>
            </w:r>
          </w:p>
        </w:tc>
        <w:tc>
          <w:tcPr>
            <w:tcW w:type="dxa" w:w="2551"/>
            <w:tcBorders>
              <w:top w:val="single" w:sz="4" w:color="3D4A42"/>
              <w:bottom w:val="single" w:sz="4" w:color="3D4A42"/>
            </w:tcBorders>
            <w:shd w:fill="3D4A42" w:val="clear"/>
          </w:tcPr>
          <w:p>
            <w:r>
              <w:rPr>
                <w:rFonts w:ascii="Calibri" w:hAnsi="Calibri" w:eastAsia="Calibri"/>
                <w:b/>
                <w:i w:val="0"/>
                <w:color w:val="FFFFFF"/>
                <w:sz w:val="18"/>
              </w:rPr>
              <w:t>Guide</w:t>
            </w:r>
          </w:p>
        </w:tc>
        <w:tc>
          <w:tcPr>
            <w:tcW w:type="dxa" w:w="4762"/>
            <w:tcBorders>
              <w:top w:val="single" w:sz="4" w:color="3D4A42"/>
              <w:bottom w:val="single" w:sz="4" w:color="3D4A42"/>
            </w:tcBorders>
            <w:shd w:fill="3D4A42" w:val="clear"/>
          </w:tcPr>
          <w:p>
            <w:r>
              <w:rPr>
                <w:rFonts w:ascii="Calibri" w:hAnsi="Calibri" w:eastAsia="Calibri"/>
                <w:b/>
                <w:i w:val="0"/>
                <w:color w:val="FFFFFF"/>
                <w:sz w:val="18"/>
              </w:rPr>
              <w:t>Typical rooms</w:t>
            </w:r>
          </w:p>
        </w:tc>
      </w:tr>
      <w:tr>
        <w:tc>
          <w:tcPr>
            <w:tcW w:type="dxa" w:w="2551"/>
            <w:tcBorders>
              <w:top w:val="single" w:sz="4" w:color="C4B8A5"/>
              <w:bottom w:val="single" w:sz="4" w:color="C4B8A5"/>
            </w:tcBorders>
            <w:shd w:fill="FFFFFF" w:val="clear"/>
          </w:tcPr>
          <w:p>
            <w:r>
              <w:rPr>
                <w:rFonts w:ascii="Calibri" w:hAnsi="Calibri" w:eastAsia="Calibri"/>
                <w:b w:val="0"/>
                <w:i w:val="0"/>
                <w:color w:val="2C2A28"/>
                <w:sz w:val="20"/>
              </w:rPr>
              <w:t>1 bedroom</w:t>
            </w:r>
          </w:p>
        </w:tc>
        <w:tc>
          <w:tcPr>
            <w:tcW w:type="dxa" w:w="2551"/>
            <w:tcBorders>
              <w:top w:val="single" w:sz="4" w:color="C4B8A5"/>
              <w:bottom w:val="single" w:sz="4" w:color="C4B8A5"/>
            </w:tcBorders>
            <w:shd w:fill="FFFFFF" w:val="clear"/>
          </w:tcPr>
          <w:p>
            <w:r>
              <w:rPr>
                <w:rFonts w:ascii="Calibri" w:hAnsi="Calibri" w:eastAsia="Calibri"/>
                <w:b w:val="0"/>
                <w:i w:val="0"/>
                <w:color w:val="2C2A28"/>
                <w:sz w:val="20"/>
              </w:rPr>
              <w:t>from $1,800</w:t>
            </w:r>
          </w:p>
        </w:tc>
        <w:tc>
          <w:tcPr>
            <w:tcW w:type="dxa" w:w="4762"/>
            <w:tcBorders>
              <w:top w:val="single" w:sz="4" w:color="C4B8A5"/>
              <w:bottom w:val="single" w:sz="4" w:color="C4B8A5"/>
            </w:tcBorders>
            <w:shd w:fill="FFFFFF" w:val="clear"/>
          </w:tcPr>
          <w:p>
            <w:r>
              <w:rPr>
                <w:rFonts w:ascii="Calibri" w:hAnsi="Calibri" w:eastAsia="Calibri"/>
                <w:b w:val="0"/>
                <w:i w:val="0"/>
                <w:color w:val="2C2A28"/>
                <w:sz w:val="20"/>
              </w:rPr>
              <w:t>Lounge, dining, bistro</w:t>
            </w:r>
          </w:p>
        </w:tc>
      </w:tr>
      <w:tr>
        <w:tc>
          <w:tcPr>
            <w:tcW w:type="dxa" w:w="2551"/>
            <w:tcBorders>
              <w:top w:val="single" w:sz="4" w:color="C4B8A5"/>
              <w:bottom w:val="single" w:sz="4" w:color="C4B8A5"/>
            </w:tcBorders>
            <w:shd w:fill="F3EEE6" w:val="clear"/>
          </w:tcPr>
          <w:p>
            <w:r>
              <w:rPr>
                <w:rFonts w:ascii="Calibri" w:hAnsi="Calibri" w:eastAsia="Calibri"/>
                <w:b w:val="0"/>
                <w:i w:val="0"/>
                <w:color w:val="2C2A28"/>
                <w:sz w:val="20"/>
              </w:rPr>
              <w:t>2 bedroom</w:t>
            </w:r>
          </w:p>
        </w:tc>
        <w:tc>
          <w:tcPr>
            <w:tcW w:type="dxa" w:w="2551"/>
            <w:tcBorders>
              <w:top w:val="single" w:sz="4" w:color="C4B8A5"/>
              <w:bottom w:val="single" w:sz="4" w:color="C4B8A5"/>
            </w:tcBorders>
            <w:shd w:fill="F3EEE6" w:val="clear"/>
          </w:tcPr>
          <w:p>
            <w:r>
              <w:rPr>
                <w:rFonts w:ascii="Calibri" w:hAnsi="Calibri" w:eastAsia="Calibri"/>
                <w:b w:val="0"/>
                <w:i w:val="0"/>
                <w:color w:val="2C2A28"/>
                <w:sz w:val="20"/>
              </w:rPr>
              <w:t>from $2,300</w:t>
            </w:r>
          </w:p>
        </w:tc>
        <w:tc>
          <w:tcPr>
            <w:tcW w:type="dxa" w:w="4762"/>
            <w:tcBorders>
              <w:top w:val="single" w:sz="4" w:color="C4B8A5"/>
              <w:bottom w:val="single" w:sz="4" w:color="C4B8A5"/>
            </w:tcBorders>
            <w:shd w:fill="F3EEE6" w:val="clear"/>
          </w:tcPr>
          <w:p>
            <w:r>
              <w:rPr>
                <w:rFonts w:ascii="Calibri" w:hAnsi="Calibri" w:eastAsia="Calibri"/>
                <w:b w:val="0"/>
                <w:i w:val="0"/>
                <w:color w:val="2C2A28"/>
                <w:sz w:val="20"/>
              </w:rPr>
              <w:t>Lounge, dining, bistro</w:t>
            </w:r>
          </w:p>
        </w:tc>
      </w:tr>
      <w:tr>
        <w:tc>
          <w:tcPr>
            <w:tcW w:type="dxa" w:w="2551"/>
            <w:tcBorders>
              <w:top w:val="single" w:sz="4" w:color="C4B8A5"/>
              <w:bottom w:val="single" w:sz="4" w:color="C4B8A5"/>
            </w:tcBorders>
            <w:shd w:fill="FFFFFF" w:val="clear"/>
          </w:tcPr>
          <w:p>
            <w:r>
              <w:rPr>
                <w:rFonts w:ascii="Calibri" w:hAnsi="Calibri" w:eastAsia="Calibri"/>
                <w:b w:val="0"/>
                <w:i w:val="0"/>
                <w:color w:val="2C2A28"/>
                <w:sz w:val="20"/>
              </w:rPr>
              <w:t>3 bedroom</w:t>
            </w:r>
          </w:p>
        </w:tc>
        <w:tc>
          <w:tcPr>
            <w:tcW w:type="dxa" w:w="2551"/>
            <w:tcBorders>
              <w:top w:val="single" w:sz="4" w:color="C4B8A5"/>
              <w:bottom w:val="single" w:sz="4" w:color="C4B8A5"/>
            </w:tcBorders>
            <w:shd w:fill="FFFFFF" w:val="clear"/>
          </w:tcPr>
          <w:p>
            <w:r>
              <w:rPr>
                <w:rFonts w:ascii="Calibri" w:hAnsi="Calibri" w:eastAsia="Calibri"/>
                <w:b w:val="0"/>
                <w:i w:val="0"/>
                <w:color w:val="2C2A28"/>
                <w:sz w:val="20"/>
              </w:rPr>
              <w:t>from $3,100</w:t>
            </w:r>
          </w:p>
        </w:tc>
        <w:tc>
          <w:tcPr>
            <w:tcW w:type="dxa" w:w="4762"/>
            <w:tcBorders>
              <w:top w:val="single" w:sz="4" w:color="C4B8A5"/>
              <w:bottom w:val="single" w:sz="4" w:color="C4B8A5"/>
            </w:tcBorders>
            <w:shd w:fill="FFFFFF" w:val="clear"/>
          </w:tcPr>
          <w:p>
            <w:r>
              <w:rPr>
                <w:rFonts w:ascii="Calibri" w:hAnsi="Calibri" w:eastAsia="Calibri"/>
                <w:b w:val="0"/>
                <w:i w:val="0"/>
                <w:color w:val="2C2A28"/>
                <w:sz w:val="20"/>
              </w:rPr>
              <w:t>Two lounges, dining, outdoor</w:t>
            </w:r>
          </w:p>
        </w:tc>
      </w:tr>
      <w:tr>
        <w:tc>
          <w:tcPr>
            <w:tcW w:type="dxa" w:w="2551"/>
            <w:tcBorders>
              <w:top w:val="single" w:sz="4" w:color="C4B8A5"/>
              <w:bottom w:val="single" w:sz="4" w:color="C4B8A5"/>
            </w:tcBorders>
            <w:shd w:fill="F3EEE6" w:val="clear"/>
          </w:tcPr>
          <w:p>
            <w:r>
              <w:rPr>
                <w:rFonts w:ascii="Calibri" w:hAnsi="Calibri" w:eastAsia="Calibri"/>
                <w:b w:val="0"/>
                <w:i w:val="0"/>
                <w:color w:val="2C2A28"/>
                <w:sz w:val="20"/>
              </w:rPr>
              <w:t>4 bedroom</w:t>
            </w:r>
          </w:p>
        </w:tc>
        <w:tc>
          <w:tcPr>
            <w:tcW w:type="dxa" w:w="2551"/>
            <w:tcBorders>
              <w:top w:val="single" w:sz="4" w:color="C4B8A5"/>
              <w:bottom w:val="single" w:sz="4" w:color="C4B8A5"/>
            </w:tcBorders>
            <w:shd w:fill="F3EEE6" w:val="clear"/>
          </w:tcPr>
          <w:p>
            <w:r>
              <w:rPr>
                <w:rFonts w:ascii="Calibri" w:hAnsi="Calibri" w:eastAsia="Calibri"/>
                <w:b w:val="0"/>
                <w:i w:val="0"/>
                <w:color w:val="2C2A28"/>
                <w:sz w:val="20"/>
              </w:rPr>
              <w:t>from $3,800</w:t>
            </w:r>
          </w:p>
        </w:tc>
        <w:tc>
          <w:tcPr>
            <w:tcW w:type="dxa" w:w="4762"/>
            <w:tcBorders>
              <w:top w:val="single" w:sz="4" w:color="C4B8A5"/>
              <w:bottom w:val="single" w:sz="4" w:color="C4B8A5"/>
            </w:tcBorders>
            <w:shd w:fill="F3EEE6" w:val="clear"/>
          </w:tcPr>
          <w:p>
            <w:r>
              <w:rPr>
                <w:rFonts w:ascii="Calibri" w:hAnsi="Calibri" w:eastAsia="Calibri"/>
                <w:b w:val="0"/>
                <w:i w:val="0"/>
                <w:color w:val="2C2A28"/>
                <w:sz w:val="20"/>
              </w:rPr>
              <w:t>Two lounges, two dining, outdoor</w:t>
            </w:r>
          </w:p>
        </w:tc>
      </w:tr>
    </w:tbl>
    <w:p>
      <w:pPr>
        <w:spacing w:after="120"/>
      </w:pPr>
    </w:p>
    <w:p>
      <w:pPr>
        <w:spacing w:after="160" w:before="0" w:line="276" w:lineRule="auto"/>
        <w:jc w:val="left"/>
      </w:pPr>
      <w:r>
        <w:rPr>
          <w:rFonts w:ascii="Calibri" w:hAnsi="Calibri" w:eastAsia="Calibri"/>
          <w:b w:val="0"/>
          <w:i/>
          <w:color w:val="57534E"/>
          <w:sz w:val="18"/>
        </w:rPr>
        <w:t>Published website guides. Extra spaces cost more. Payment before install, or on the vendor’s settlement.</w:t>
      </w:r>
    </w:p>
    <w:p>
      <w:pPr>
        <w:spacing w:after="160" w:before="320" w:line="276" w:lineRule="auto"/>
        <w:jc w:val="left"/>
      </w:pPr>
      <w:r>
        <w:rPr>
          <w:rFonts w:ascii="Calibri" w:hAnsi="Calibri" w:eastAsia="Calibri"/>
          <w:b/>
          <w:i w:val="0"/>
          <w:color w:val="3D4A42"/>
          <w:sz w:val="36"/>
        </w:rPr>
        <w:t>6. How the week actually runs</w:t>
      </w:r>
    </w:p>
    <w:p>
      <w:pPr>
        <w:spacing w:after="160" w:before="0" w:line="276" w:lineRule="auto"/>
        <w:jc w:val="both"/>
      </w:pPr>
      <w:r>
        <w:rPr>
          <w:rFonts w:ascii="Calibri" w:hAnsi="Calibri" w:eastAsia="Calibri"/>
          <w:b w:val="0"/>
          <w:i w:val="0"/>
          <w:color w:val="2C2A28"/>
          <w:sz w:val="22"/>
        </w:rPr>
        <w:t>Enquiry, quote, book the install, pull the rooms from the rack, truck out, style, photos, opens, collect when the campaign ends. Creative direction, styling, warehouse and administration are described as four functions. In practice the working owner still holds the creative and the agent relationships. Two stylists left this year — one moved, one started a design-and-build with her husband — so the next owner should plan to be on the tools, or to hire, rather than assume a full bench is waiting.</w:t>
      </w:r>
    </w:p>
    <w:p>
      <w:pPr>
        <w:spacing w:after="160" w:before="0" w:line="276" w:lineRule="auto"/>
        <w:jc w:val="both"/>
      </w:pPr>
      <w:r>
        <w:rPr>
          <w:rFonts w:ascii="Calibri" w:hAnsi="Calibri" w:eastAsia="Calibri"/>
          <w:b w:val="0"/>
          <w:i w:val="0"/>
          <w:color w:val="2C2A28"/>
          <w:sz w:val="22"/>
        </w:rPr>
        <w:t>That is not hidden. It is why the handover is three months, not a set of keys in a car park.</w:t>
      </w:r>
    </w:p>
    <w:p>
      <w:pPr>
        <w:spacing w:after="160" w:before="320" w:line="276" w:lineRule="auto"/>
        <w:jc w:val="left"/>
      </w:pPr>
      <w:r>
        <w:rPr>
          <w:rFonts w:ascii="Calibri" w:hAnsi="Calibri" w:eastAsia="Calibri"/>
          <w:b/>
          <w:i w:val="0"/>
          <w:color w:val="3D4A42"/>
          <w:sz w:val="36"/>
        </w:rPr>
        <w:t>7. Growth — if you want it</w:t>
      </w:r>
    </w:p>
    <w:p>
      <w:pPr>
        <w:spacing w:after="160" w:before="0" w:line="276" w:lineRule="auto"/>
        <w:jc w:val="both"/>
      </w:pPr>
      <w:r>
        <w:rPr>
          <w:rFonts w:ascii="Calibri" w:hAnsi="Calibri" w:eastAsia="Calibri"/>
          <w:b w:val="0"/>
          <w:i w:val="0"/>
          <w:color w:val="2C2A28"/>
          <w:sz w:val="22"/>
        </w:rPr>
        <w:t>The obvious lever is utilisation: take the FY2024 run-rate and put it back on the same stock. After that, more of the existing agencies, more display work, Style to Stay, and a bit of digital presence the current owner never enjoyed. Neighbouring regional jobs are possible if the truck and the diary allow. None of that requires a second warehouse on day one.</w:t>
      </w:r>
    </w:p>
    <w:p>
      <w:pPr>
        <w:spacing w:after="160" w:before="320" w:line="276" w:lineRule="auto"/>
        <w:jc w:val="left"/>
      </w:pPr>
      <w:r>
        <w:rPr>
          <w:rFonts w:ascii="Calibri" w:hAnsi="Calibri" w:eastAsia="Calibri"/>
          <w:b/>
          <w:i w:val="0"/>
          <w:color w:val="3D4A42"/>
          <w:sz w:val="36"/>
        </w:rPr>
        <w:t>8. Handover</w:t>
      </w:r>
    </w:p>
    <w:p>
      <w:pPr>
        <w:spacing w:after="160" w:before="0" w:line="276" w:lineRule="auto"/>
        <w:jc w:val="both"/>
      </w:pPr>
      <w:r>
        <w:rPr>
          <w:rFonts w:ascii="Calibri" w:hAnsi="Calibri" w:eastAsia="Calibri"/>
          <w:b w:val="0"/>
          <w:i w:val="0"/>
          <w:color w:val="2C2A28"/>
          <w:sz w:val="22"/>
        </w:rPr>
        <w:t>The vendors will stay up to three months after settlement, on terms you agree. That can cover introductions to the main agencies, suppliers, the quoting and scheduling habits, inventory, and being on the end of the phone. Tricia is prepared to show how she has done it and then step back. If she is in Brisbane with family, some of that can be by video. Write the introductions into the contract as a number of meetings, not as ‘reasonable assistance’.</w:t>
      </w:r>
    </w:p>
    <w:p>
      <w:pPr>
        <w:spacing w:after="160" w:before="320" w:line="276" w:lineRule="auto"/>
        <w:jc w:val="left"/>
      </w:pPr>
      <w:r>
        <w:rPr>
          <w:rFonts w:ascii="Calibri" w:hAnsi="Calibri" w:eastAsia="Calibri"/>
          <w:b/>
          <w:i w:val="0"/>
          <w:color w:val="3D4A42"/>
          <w:sz w:val="36"/>
        </w:rPr>
        <w:t>9. Process</w:t>
      </w:r>
    </w:p>
    <w:p>
      <w:pPr>
        <w:pStyle w:val="ListBullet"/>
        <w:spacing w:after="60" w:before="0"/>
      </w:pPr>
      <w:r>
        <w:rPr>
          <w:rFonts w:ascii="Calibri" w:hAnsi="Calibri" w:eastAsia="Calibri"/>
          <w:b w:val="0"/>
          <w:i w:val="0"/>
          <w:color w:val="2C2A28"/>
          <w:sz w:val="22"/>
        </w:rPr>
        <w:t>Confidentiality agreement.</w:t>
      </w:r>
    </w:p>
    <w:p>
      <w:pPr>
        <w:pStyle w:val="ListBullet"/>
        <w:spacing w:after="60" w:before="0"/>
      </w:pPr>
      <w:r>
        <w:rPr>
          <w:rFonts w:ascii="Calibri" w:hAnsi="Calibri" w:eastAsia="Calibri"/>
          <w:b w:val="0"/>
          <w:i w:val="0"/>
          <w:color w:val="2C2A28"/>
          <w:sz w:val="22"/>
        </w:rPr>
        <w:t>This memorandum, then financials, asset register, lease and inventory under due diligence.</w:t>
      </w:r>
    </w:p>
    <w:p>
      <w:pPr>
        <w:pStyle w:val="ListBullet"/>
        <w:spacing w:after="60" w:before="0"/>
      </w:pPr>
      <w:r>
        <w:rPr>
          <w:rFonts w:ascii="Calibri" w:hAnsi="Calibri" w:eastAsia="Calibri"/>
          <w:b w:val="0"/>
          <w:i w:val="0"/>
          <w:color w:val="2C2A28"/>
          <w:sz w:val="22"/>
        </w:rPr>
        <w:t>Warehouse viewing by appointment, outside install days if possible.</w:t>
      </w:r>
    </w:p>
    <w:p>
      <w:pPr>
        <w:pStyle w:val="ListBullet"/>
        <w:spacing w:after="60" w:before="0"/>
      </w:pPr>
      <w:r>
        <w:rPr>
          <w:rFonts w:ascii="Calibri" w:hAnsi="Calibri" w:eastAsia="Calibri"/>
          <w:b w:val="0"/>
          <w:i w:val="0"/>
          <w:color w:val="2C2A28"/>
          <w:sz w:val="22"/>
        </w:rPr>
        <w:t>Written offer. Asset sale contemplated: stock, vehicles, name, domain, phone, specified handover, non-compete.</w:t>
      </w:r>
    </w:p>
    <w:p>
      <w:pPr>
        <w:pStyle w:val="ListBullet"/>
        <w:spacing w:after="60" w:before="0"/>
      </w:pPr>
      <w:r>
        <w:rPr>
          <w:rFonts w:ascii="Calibri" w:hAnsi="Calibri" w:eastAsia="Calibri"/>
          <w:b w:val="0"/>
          <w:i w:val="0"/>
          <w:color w:val="2C2A28"/>
          <w:sz w:val="22"/>
        </w:rPr>
        <w:t>The vendors will not discuss the sale with referring agents until a contract is in place.</w:t>
      </w:r>
    </w:p>
    <w:p>
      <w:pPr>
        <w:spacing w:after="160" w:before="0" w:line="276" w:lineRule="auto"/>
        <w:jc w:val="both"/>
      </w:pPr>
      <w:r>
        <w:rPr>
          <w:rFonts w:ascii="Calibri" w:hAnsi="Calibri" w:eastAsia="Calibri"/>
          <w:b w:val="0"/>
          <w:i w:val="0"/>
          <w:color w:val="2C2A28"/>
          <w:sz w:val="22"/>
        </w:rPr>
        <w:t>Figures here come from the vendors’ September 2026 portfolio and from a conversation with the working owner. Recipients should do their own work. This is not a forecast, a valuation, or tax advice. Do not copy, forward or use the trading name in a public advertisement without the vendors’ written consent.</w:t>
      </w:r>
    </w:p>
    <w:p>
      <w:pPr>
        <w:spacing w:after="160" w:before="240" w:line="276" w:lineRule="auto"/>
        <w:jc w:val="left"/>
      </w:pPr>
      <w:r>
        <w:rPr>
          <w:rFonts w:ascii="Calibri" w:hAnsi="Calibri" w:eastAsia="Calibri"/>
          <w:b/>
          <w:i w:val="0"/>
          <w:color w:val="3D4A42"/>
          <w:sz w:val="24"/>
        </w:rPr>
        <w:t>Expressions of interest</w:t>
      </w:r>
    </w:p>
    <w:p>
      <w:pPr>
        <w:spacing w:after="160" w:before="0" w:line="276" w:lineRule="auto"/>
        <w:jc w:val="both"/>
      </w:pPr>
      <w:r>
        <w:rPr>
          <w:rFonts w:ascii="Calibri" w:hAnsi="Calibri" w:eastAsia="Calibri"/>
          <w:b w:val="0"/>
          <w:i w:val="0"/>
          <w:color w:val="2C2A28"/>
          <w:sz w:val="22"/>
        </w:rPr>
        <w:t>Through the vendors’ appointed representative, once that appointment is made. Until then, treat this document as private.</w:t>
      </w:r>
    </w:p>
    <w:sectPr w:rsidR="00FC693F" w:rsidRPr="0006063C" w:rsidSect="00034616">
      <w:footerReference w:type="default" r:id="rId9"/>
      <w:pgSz w:w="11906" w:h="16838"/>
      <w:pgMar w:top="90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rFonts w:ascii="Calibri" w:hAnsi="Calibri" w:eastAsia="Calibri"/>
        <w:b w:val="0"/>
        <w:i w:val="0"/>
        <w:color w:val="57534E"/>
        <w:sz w:val="16"/>
      </w:rPr>
      <w:t xml:space="preserve">Confidential information memorandum  ·  Elements Property Styling ACT   ·   </w:t>
    </w:r>
    <w:r>
      <w:rPr>
        <w:rFonts w:ascii="Calibri" w:hAnsi="Calibri" w:eastAsia="Calibri"/>
        <w:b w:val="0"/>
        <w:i w:val="0"/>
        <w:color w:val="57534E"/>
        <w:sz w:val="16"/>
      </w:rPr>
      <w:t xml:space="preserve">Page </w:t>
    </w:r>
    <w:r>
      <w:rPr>
        <w:rFonts w:ascii="Calibri" w:hAnsi="Calibri" w:eastAsia="Calibri"/>
        <w:b w:val="0"/>
        <w:i w:val="0"/>
        <w:color w:val="57534E"/>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Elements Property Styling — confidential information memorandum</dc:title>
  <dc:subject/>
  <dc:creator>Tyson Whitewood</dc:creator>
  <cp:keywords/>
  <dc:description>generated by python-docx</dc:description>
  <cp:lastModifiedBy>Tyson Whitewood</cp:lastModifiedBy>
  <cp:revision>1</cp:revision>
  <dcterms:created xsi:type="dcterms:W3CDTF">2013-12-23T23:15:00Z</dcterms:created>
  <dcterms:modified xsi:type="dcterms:W3CDTF">2013-12-23T23:15:00Z</dcterms:modified>
  <cp:category/>
</cp:coreProperties>
</file>